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outline w:val="0"/>
          <w:color w:val="0b3160"/>
          <w:sz w:val="34"/>
          <w:szCs w:val="34"/>
          <w:u w:color="0b3160"/>
          <w14:textFill>
            <w14:solidFill>
              <w14:srgbClr w14:val="0B3160"/>
            </w14:solidFill>
          </w14:textFill>
        </w:rPr>
      </w:pPr>
      <w:r>
        <w:drawing xmlns:a="http://schemas.openxmlformats.org/drawingml/2006/main">
          <wp:inline distT="0" distB="0" distL="0" distR="0">
            <wp:extent cx="1809095" cy="653282"/>
            <wp:effectExtent l="0" t="0" r="0" b="0"/>
            <wp:docPr id="1073741826"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lipartDescription automatically generated" descr="A picture containing text, clipartDescription automatically generated"/>
                    <pic:cNvPicPr>
                      <a:picLocks noChangeAspect="1"/>
                    </pic:cNvPicPr>
                  </pic:nvPicPr>
                  <pic:blipFill>
                    <a:blip r:embed="rId4">
                      <a:extLst/>
                    </a:blip>
                    <a:stretch>
                      <a:fillRect/>
                    </a:stretch>
                  </pic:blipFill>
                  <pic:spPr>
                    <a:xfrm>
                      <a:off x="0" y="0"/>
                      <a:ext cx="1809095" cy="653282"/>
                    </a:xfrm>
                    <a:prstGeom prst="rect">
                      <a:avLst/>
                    </a:prstGeom>
                    <a:ln w="12700" cap="flat">
                      <a:noFill/>
                      <a:miter lim="400000"/>
                    </a:ln>
                    <a:effectLst/>
                  </pic:spPr>
                </pic:pic>
              </a:graphicData>
            </a:graphic>
          </wp:inline>
        </w:drawing>
      </w:r>
    </w:p>
    <w:p>
      <w:pPr>
        <w:pStyle w:val="Body"/>
        <w:jc w:val="center"/>
      </w:pPr>
      <w:r>
        <w:rPr>
          <w:rtl w:val="0"/>
          <w:lang w:val="en-US"/>
        </w:rPr>
        <w:t>Government Blockchain Association</w:t>
      </w:r>
    </w:p>
    <w:p>
      <w:pPr>
        <w:pStyle w:val="Body"/>
        <w:jc w:val="center"/>
      </w:pPr>
      <w:r>
        <w:rPr>
          <w:rtl w:val="0"/>
          <w:lang w:val="en-US"/>
        </w:rPr>
        <w:t>Lans Titling Working Group</w:t>
      </w:r>
      <w:r>
        <w:br w:type="textWrapping"/>
      </w:r>
    </w:p>
    <w:p>
      <w:pPr>
        <w:pStyle w:val="Body"/>
        <w:ind w:left="90" w:firstLine="0"/>
        <w:jc w:val="center"/>
      </w:pPr>
      <w:r>
        <w:drawing xmlns:a="http://schemas.openxmlformats.org/drawingml/2006/main">
          <wp:inline distT="0" distB="0" distL="0" distR="0">
            <wp:extent cx="2854519" cy="1642871"/>
            <wp:effectExtent l="0" t="0" r="0" b="0"/>
            <wp:docPr id="1073741827"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TextDescription automatically generated with medium confidence" descr="TextDescription automatically generated with medium confidence"/>
                    <pic:cNvPicPr>
                      <a:picLocks noChangeAspect="1"/>
                    </pic:cNvPicPr>
                  </pic:nvPicPr>
                  <pic:blipFill>
                    <a:blip r:embed="rId5">
                      <a:extLst/>
                    </a:blip>
                    <a:stretch>
                      <a:fillRect/>
                    </a:stretch>
                  </pic:blipFill>
                  <pic:spPr>
                    <a:xfrm>
                      <a:off x="0" y="0"/>
                      <a:ext cx="2854519" cy="1642871"/>
                    </a:xfrm>
                    <a:prstGeom prst="rect">
                      <a:avLst/>
                    </a:prstGeom>
                    <a:ln w="12700" cap="flat">
                      <a:noFill/>
                      <a:miter lim="400000"/>
                    </a:ln>
                    <a:effectLst/>
                  </pic:spPr>
                </pic:pic>
              </a:graphicData>
            </a:graphic>
          </wp:inline>
        </w:drawing>
      </w:r>
    </w:p>
    <w:p>
      <w:pPr>
        <w:pStyle w:val="Body"/>
      </w:pPr>
    </w:p>
    <w:p>
      <w:pPr>
        <w:pStyle w:val="Body"/>
      </w:pPr>
      <w:r>
        <w:rPr>
          <w:rFonts w:cs="Arial Unicode MS" w:eastAsia="Arial Unicode MS"/>
          <w:rtl w:val="0"/>
          <w:lang w:val="en-US"/>
        </w:rPr>
        <w:t>Land Titling System Supplement</w:t>
      </w:r>
    </w:p>
    <w:p>
      <w:pPr>
        <w:pStyle w:val="Body"/>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35"/>
        <w:gridCol w:w="7915"/>
      </w:tblGrid>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Month, day, 2023</w:t>
            </w:r>
          </w:p>
        </w:tc>
      </w:tr>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Version:</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xx</w:t>
            </w:r>
          </w:p>
        </w:tc>
      </w:tr>
    </w:tbl>
    <w:p>
      <w:pPr>
        <w:pStyle w:val="Body"/>
        <w:widowControl w:val="0"/>
        <w:spacing w:line="240" w:lineRule="auto"/>
      </w:pPr>
    </w:p>
    <w:p>
      <w:pPr>
        <w:pStyle w:val="Body"/>
      </w:pPr>
    </w:p>
    <w:p>
      <w:pPr>
        <w:pStyle w:val="Body"/>
      </w:pPr>
      <w:r>
        <w:rPr>
          <w:rFonts w:cs="Arial Unicode MS" w:eastAsia="Arial Unicode MS"/>
          <w:rtl w:val="0"/>
          <w:lang w:val="it-IT"/>
        </w:rPr>
        <w:t>Approval</w:t>
      </w: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22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Director, Standards</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pPr>
              <w:pStyle w:val="Body"/>
              <w:spacing w:after="0" w:line="240" w:lineRule="auto"/>
              <w:ind w:left="4" w:firstLine="0"/>
              <w:jc w:val="center"/>
            </w:pPr>
            <w:r>
              <w:rPr>
                <w:shd w:val="nil" w:color="auto" w:fill="auto"/>
                <w:rtl w:val="0"/>
                <w:lang w:val="en-US"/>
              </w:rPr>
              <w:t>Sep 6, 2022</w:t>
            </w:r>
          </w:p>
        </w:tc>
      </w:tr>
      <w:tr>
        <w:tblPrEx>
          <w:shd w:val="clear" w:color="auto" w:fill="cdd4e9"/>
        </w:tblPrEx>
        <w:trPr>
          <w:trHeight w:val="221"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Meiyappan Masilamani</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48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Land Titling Working Group Lead</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tc>
      </w:tr>
      <w:tr>
        <w:tblPrEx>
          <w:shd w:val="clear" w:color="auto" w:fill="cdd4e9"/>
        </w:tblPrEx>
        <w:trPr>
          <w:trHeight w:val="362"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Bobbie Reynolds</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sectPr>
          <w:headerReference w:type="default" r:id="rId6"/>
          <w:footerReference w:type="default" r:id="rId7"/>
          <w:pgSz w:w="12240" w:h="15840" w:orient="portrait"/>
          <w:pgMar w:top="1380" w:right="1340" w:bottom="280" w:left="1340" w:header="720" w:footer="0"/>
          <w:pgNumType w:start="1"/>
          <w:bidi w:val="0"/>
        </w:sectPr>
      </w:pPr>
      <w:r>
        <w:rPr>
          <w:rFonts w:cs="Arial Unicode MS" w:eastAsia="Arial Unicode MS" w:hint="default"/>
          <w:rtl w:val="0"/>
          <w:lang w:val="de-DE"/>
        </w:rPr>
        <w:t xml:space="preserve">© </w:t>
      </w:r>
      <w:r>
        <w:rPr>
          <w:rFonts w:cs="Arial Unicode MS" w:eastAsia="Arial Unicode MS"/>
          <w:rtl w:val="0"/>
          <w:lang w:val="en-US"/>
        </w:rPr>
        <w:t>2023 Government Blockchain Association (GBA)</w:t>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toc 1.0"/>
        <w:tabs>
          <w:tab w:val="left" w:pos="435"/>
          <w:tab w:val="right" w:pos="9540" w:leader="dot"/>
        </w:tabs>
      </w:pP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TOC \o 1-3 </w:instrText>
      </w:r>
      <w:r>
        <w:rPr>
          <w:rFonts w:ascii="Times New Roman" w:cs="Times New Roman" w:hAnsi="Times New Roman" w:eastAsia="Times New Roman"/>
        </w:rPr>
        <w:fldChar w:fldCharType="separate" w:fldLock="0"/>
      </w:r>
    </w:p>
    <w:p>
      <w:pPr>
        <w:pStyle w:val="TOC 1"/>
        <w:numPr>
          <w:ilvl w:val="0"/>
          <w:numId w:val="1"/>
        </w:numPr>
      </w:pPr>
      <w:r>
        <w:rPr>
          <w:rFonts w:cs="Arial Unicode MS" w:eastAsia="Arial Unicode MS"/>
          <w:rtl w:val="0"/>
        </w:rPr>
        <w:t>Introduction</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2"/>
        <w:numPr>
          <w:ilvl w:val="1"/>
          <w:numId w:val="1"/>
        </w:numPr>
      </w:pPr>
      <w:r>
        <w:rPr>
          <w:rFonts w:cs="Arial Unicode MS" w:eastAsia="Arial Unicode MS"/>
          <w:rtl w:val="0"/>
        </w:rPr>
        <w:t>Purpose</w:t>
        <w:tab/>
      </w:r>
      <w:r>
        <w:rPr/>
        <w:fldChar w:fldCharType="begin" w:fldLock="0"/>
      </w:r>
      <w:r>
        <w:instrText xml:space="preserve"> PAGEREF _Toc1 \h </w:instrText>
      </w:r>
      <w:r>
        <w:rPr/>
        <w:fldChar w:fldCharType="separate" w:fldLock="0"/>
      </w:r>
      <w:r>
        <w:rPr>
          <w:rFonts w:cs="Arial Unicode MS" w:eastAsia="Arial Unicode MS"/>
          <w:rtl w:val="0"/>
        </w:rPr>
        <w:t>1</w:t>
      </w:r>
      <w:r>
        <w:rPr/>
        <w:fldChar w:fldCharType="end" w:fldLock="0"/>
      </w:r>
    </w:p>
    <w:p>
      <w:pPr>
        <w:pStyle w:val="TOC 1"/>
        <w:numPr>
          <w:ilvl w:val="0"/>
          <w:numId w:val="2"/>
        </w:numPr>
      </w:pPr>
      <w:r>
        <w:rPr>
          <w:rFonts w:cs="Arial Unicode MS" w:eastAsia="Arial Unicode MS"/>
          <w:rtl w:val="0"/>
        </w:rPr>
        <w:t>Purpose:</w:t>
        <w:tab/>
      </w:r>
      <w:r>
        <w:rPr/>
        <w:fldChar w:fldCharType="begin" w:fldLock="0"/>
      </w:r>
      <w:r>
        <w:instrText xml:space="preserve"> PAGEREF _Toc2 \h </w:instrText>
      </w:r>
      <w:r>
        <w:rPr/>
        <w:fldChar w:fldCharType="separate" w:fldLock="0"/>
      </w:r>
      <w:r>
        <w:rPr>
          <w:rFonts w:cs="Arial Unicode MS" w:eastAsia="Arial Unicode MS"/>
          <w:rtl w:val="0"/>
        </w:rPr>
        <w:t>2</w:t>
      </w:r>
      <w:r>
        <w:rPr/>
        <w:fldChar w:fldCharType="end" w:fldLock="0"/>
      </w:r>
    </w:p>
    <w:p>
      <w:pPr>
        <w:pStyle w:val="TOC 1"/>
        <w:numPr>
          <w:ilvl w:val="0"/>
          <w:numId w:val="3"/>
        </w:numPr>
      </w:pPr>
      <w:r>
        <w:rPr>
          <w:rFonts w:cs="Arial Unicode MS" w:eastAsia="Arial Unicode MS"/>
          <w:rtl w:val="0"/>
        </w:rPr>
        <w:t>Scope</w:t>
        <w:tab/>
      </w:r>
      <w:r>
        <w:rPr/>
        <w:fldChar w:fldCharType="begin" w:fldLock="0"/>
      </w:r>
      <w:r>
        <w:instrText xml:space="preserve"> PAGEREF _Toc3 \h </w:instrText>
      </w:r>
      <w:r>
        <w:rPr/>
        <w:fldChar w:fldCharType="separate" w:fldLock="0"/>
      </w:r>
      <w:r>
        <w:rPr>
          <w:rFonts w:cs="Arial Unicode MS" w:eastAsia="Arial Unicode MS"/>
          <w:rtl w:val="0"/>
        </w:rPr>
        <w:t>2</w:t>
      </w:r>
      <w:r>
        <w:rPr/>
        <w:fldChar w:fldCharType="end" w:fldLock="0"/>
      </w:r>
    </w:p>
    <w:p>
      <w:pPr>
        <w:pStyle w:val="TOC 1"/>
        <w:numPr>
          <w:ilvl w:val="0"/>
          <w:numId w:val="4"/>
        </w:numPr>
      </w:pPr>
      <w:r>
        <w:rPr>
          <w:rFonts w:cs="Arial Unicode MS" w:eastAsia="Arial Unicode MS"/>
          <w:rtl w:val="0"/>
        </w:rPr>
        <w:t>Requirements</w:t>
        <w:tab/>
      </w:r>
      <w:r>
        <w:rPr/>
        <w:fldChar w:fldCharType="begin" w:fldLock="0"/>
      </w:r>
      <w:r>
        <w:instrText xml:space="preserve"> PAGEREF _Toc4 \h </w:instrText>
      </w:r>
      <w:r>
        <w:rPr/>
        <w:fldChar w:fldCharType="separate" w:fldLock="0"/>
      </w:r>
      <w:r>
        <w:rPr>
          <w:rFonts w:cs="Arial Unicode MS" w:eastAsia="Arial Unicode MS"/>
          <w:rtl w:val="0"/>
        </w:rPr>
        <w:t>2</w:t>
      </w:r>
      <w:r>
        <w:rPr/>
        <w:fldChar w:fldCharType="end" w:fldLock="0"/>
      </w:r>
    </w:p>
    <w:p>
      <w:pPr>
        <w:pStyle w:val="TOC 2"/>
        <w:numPr>
          <w:ilvl w:val="1"/>
          <w:numId w:val="1"/>
        </w:numPr>
      </w:pPr>
      <w:r>
        <w:rPr>
          <w:rFonts w:cs="Arial Unicode MS" w:eastAsia="Arial Unicode MS"/>
          <w:rtl w:val="0"/>
        </w:rPr>
        <w:t>Interoperability</w:t>
        <w:tab/>
      </w:r>
      <w:r>
        <w:rPr/>
        <w:fldChar w:fldCharType="begin" w:fldLock="0"/>
      </w:r>
      <w:r>
        <w:instrText xml:space="preserve"> PAGEREF _Toc5 \h </w:instrText>
      </w:r>
      <w:r>
        <w:rPr/>
        <w:fldChar w:fldCharType="separate" w:fldLock="0"/>
      </w:r>
      <w:r>
        <w:rPr>
          <w:rFonts w:cs="Arial Unicode MS" w:eastAsia="Arial Unicode MS"/>
          <w:rtl w:val="0"/>
        </w:rPr>
        <w:t>2</w:t>
      </w:r>
      <w:r>
        <w:rPr/>
        <w:fldChar w:fldCharType="end" w:fldLock="0"/>
      </w:r>
    </w:p>
    <w:p>
      <w:pPr>
        <w:pStyle w:val="TOC 2"/>
        <w:numPr>
          <w:ilvl w:val="1"/>
          <w:numId w:val="5"/>
        </w:numPr>
      </w:pPr>
      <w:r>
        <w:rPr>
          <w:rFonts w:cs="Arial Unicode MS" w:eastAsia="Arial Unicode MS"/>
          <w:rtl w:val="0"/>
        </w:rPr>
        <w:t>Fractional Ownership</w:t>
        <w:tab/>
      </w:r>
      <w:r>
        <w:rPr/>
        <w:fldChar w:fldCharType="begin" w:fldLock="0"/>
      </w:r>
      <w:r>
        <w:instrText xml:space="preserve"> PAGEREF _Toc6 \h </w:instrText>
      </w:r>
      <w:r>
        <w:rPr/>
        <w:fldChar w:fldCharType="separate" w:fldLock="0"/>
      </w:r>
      <w:r>
        <w:rPr>
          <w:rFonts w:cs="Arial Unicode MS" w:eastAsia="Arial Unicode MS"/>
          <w:rtl w:val="0"/>
        </w:rPr>
        <w:t>3</w:t>
      </w:r>
      <w:r>
        <w:rPr/>
        <w:fldChar w:fldCharType="end" w:fldLock="0"/>
      </w:r>
    </w:p>
    <w:p>
      <w:pPr>
        <w:pStyle w:val="TOC 3"/>
        <w:numPr>
          <w:ilvl w:val="2"/>
          <w:numId w:val="1"/>
        </w:numPr>
        <w:bidi w:val="0"/>
      </w:pPr>
      <w:r>
        <w:rPr>
          <w:rFonts w:cs="Arial Unicode MS" w:eastAsia="Arial Unicode MS"/>
          <w:rtl w:val="0"/>
          <w:lang w:val="en-US"/>
        </w:rPr>
        <w:t>Fractional Rights</w:t>
        <w:tab/>
      </w:r>
      <w:r>
        <w:rPr/>
        <w:fldChar w:fldCharType="begin" w:fldLock="0"/>
      </w:r>
      <w:r>
        <w:instrText xml:space="preserve"> PAGEREF _Toc7 \h </w:instrText>
      </w:r>
      <w:r>
        <w:rPr/>
        <w:fldChar w:fldCharType="separate" w:fldLock="0"/>
      </w:r>
      <w:r>
        <w:rPr>
          <w:rFonts w:cs="Arial Unicode MS" w:eastAsia="Arial Unicode MS"/>
          <w:rtl w:val="0"/>
        </w:rPr>
        <w:t>3</w:t>
      </w:r>
      <w:r>
        <w:rPr/>
        <w:fldChar w:fldCharType="end" w:fldLock="0"/>
      </w:r>
    </w:p>
    <w:p>
      <w:pPr>
        <w:pStyle w:val="TOC 3"/>
        <w:numPr>
          <w:ilvl w:val="2"/>
          <w:numId w:val="6"/>
        </w:numPr>
        <w:bidi w:val="0"/>
      </w:pPr>
      <w:r>
        <w:rPr>
          <w:rFonts w:cs="Arial Unicode MS" w:eastAsia="Arial Unicode MS"/>
          <w:rtl w:val="0"/>
          <w:lang w:val="en-US"/>
        </w:rPr>
        <w:t>Fractional Revocation</w:t>
        <w:tab/>
      </w:r>
      <w:r>
        <w:rPr/>
        <w:fldChar w:fldCharType="begin" w:fldLock="0"/>
      </w:r>
      <w:r>
        <w:instrText xml:space="preserve"> PAGEREF _Toc8 \h </w:instrText>
      </w:r>
      <w:r>
        <w:rPr/>
        <w:fldChar w:fldCharType="separate" w:fldLock="0"/>
      </w:r>
      <w:r>
        <w:rPr>
          <w:rFonts w:cs="Arial Unicode MS" w:eastAsia="Arial Unicode MS"/>
          <w:rtl w:val="0"/>
        </w:rPr>
        <w:t>3</w:t>
      </w:r>
      <w:r>
        <w:rPr/>
        <w:fldChar w:fldCharType="end" w:fldLock="0"/>
      </w:r>
    </w:p>
    <w:p>
      <w:pPr>
        <w:pStyle w:val="TOC 2"/>
        <w:numPr>
          <w:ilvl w:val="1"/>
          <w:numId w:val="7"/>
        </w:numPr>
      </w:pPr>
      <w:r>
        <w:rPr>
          <w:rFonts w:cs="Arial Unicode MS" w:eastAsia="Arial Unicode MS"/>
          <w:rtl w:val="0"/>
        </w:rPr>
        <w:t>Land Property Transfer</w:t>
        <w:tab/>
      </w:r>
      <w:r>
        <w:rPr/>
        <w:fldChar w:fldCharType="begin" w:fldLock="0"/>
      </w:r>
      <w:r>
        <w:instrText xml:space="preserve"> PAGEREF _Toc9 \h </w:instrText>
      </w:r>
      <w:r>
        <w:rPr/>
        <w:fldChar w:fldCharType="separate" w:fldLock="0"/>
      </w:r>
      <w:r>
        <w:rPr>
          <w:rFonts w:cs="Arial Unicode MS" w:eastAsia="Arial Unicode MS"/>
          <w:rtl w:val="0"/>
        </w:rPr>
        <w:t>3</w:t>
      </w:r>
      <w:r>
        <w:rPr/>
        <w:fldChar w:fldCharType="end" w:fldLock="0"/>
      </w:r>
    </w:p>
    <w:p>
      <w:pPr>
        <w:pStyle w:val="TOC 2"/>
        <w:numPr>
          <w:ilvl w:val="1"/>
          <w:numId w:val="8"/>
        </w:numPr>
      </w:pPr>
      <w:r>
        <w:rPr>
          <w:rFonts w:cs="Arial Unicode MS" w:eastAsia="Arial Unicode MS"/>
          <w:rtl w:val="0"/>
        </w:rPr>
        <w:t>Property Chain of Custody Verification</w:t>
        <w:tab/>
      </w:r>
      <w:r>
        <w:rPr/>
        <w:fldChar w:fldCharType="begin" w:fldLock="0"/>
      </w:r>
      <w:r>
        <w:instrText xml:space="preserve"> PAGEREF _Toc10 \h </w:instrText>
      </w:r>
      <w:r>
        <w:rPr/>
        <w:fldChar w:fldCharType="separate" w:fldLock="0"/>
      </w:r>
      <w:r>
        <w:rPr>
          <w:rFonts w:cs="Arial Unicode MS" w:eastAsia="Arial Unicode MS"/>
          <w:rtl w:val="0"/>
        </w:rPr>
        <w:t>4</w:t>
      </w:r>
      <w:r>
        <w:rPr/>
        <w:fldChar w:fldCharType="end" w:fldLock="0"/>
      </w:r>
    </w:p>
    <w:p>
      <w:pPr>
        <w:pStyle w:val="TOC 2"/>
        <w:numPr>
          <w:ilvl w:val="1"/>
          <w:numId w:val="9"/>
        </w:numPr>
      </w:pPr>
      <w:r>
        <w:rPr>
          <w:rFonts w:cs="Arial Unicode MS" w:eastAsia="Arial Unicode MS"/>
          <w:rtl w:val="0"/>
        </w:rPr>
        <w:t>Land Valuation</w:t>
        <w:tab/>
      </w:r>
      <w:r>
        <w:rPr/>
        <w:fldChar w:fldCharType="begin" w:fldLock="0"/>
      </w:r>
      <w:r>
        <w:instrText xml:space="preserve"> PAGEREF _Toc11 \h </w:instrText>
      </w:r>
      <w:r>
        <w:rPr/>
        <w:fldChar w:fldCharType="separate" w:fldLock="0"/>
      </w:r>
      <w:r>
        <w:rPr>
          <w:rFonts w:cs="Arial Unicode MS" w:eastAsia="Arial Unicode MS"/>
          <w:rtl w:val="0"/>
        </w:rPr>
        <w:t>4</w:t>
      </w:r>
      <w:r>
        <w:rPr/>
        <w:fldChar w:fldCharType="end" w:fldLock="0"/>
      </w:r>
    </w:p>
    <w:p>
      <w:pPr>
        <w:pStyle w:val="TOC 2"/>
        <w:numPr>
          <w:ilvl w:val="1"/>
          <w:numId w:val="10"/>
        </w:numPr>
      </w:pPr>
      <w:r>
        <w:rPr>
          <w:rFonts w:cs="Arial Unicode MS" w:eastAsia="Arial Unicode MS"/>
          <w:rtl w:val="0"/>
        </w:rPr>
        <w:t>Transfer Event</w:t>
        <w:tab/>
      </w:r>
      <w:r>
        <w:rPr/>
        <w:fldChar w:fldCharType="begin" w:fldLock="0"/>
      </w:r>
      <w:r>
        <w:instrText xml:space="preserve"> PAGEREF _Toc12 \h </w:instrText>
      </w:r>
      <w:r>
        <w:rPr/>
        <w:fldChar w:fldCharType="separate" w:fldLock="0"/>
      </w:r>
      <w:r>
        <w:rPr>
          <w:rFonts w:cs="Arial Unicode MS" w:eastAsia="Arial Unicode MS"/>
          <w:rtl w:val="0"/>
        </w:rPr>
        <w:t>5</w:t>
      </w:r>
      <w:r>
        <w:rPr/>
        <w:fldChar w:fldCharType="end" w:fldLock="0"/>
      </w:r>
    </w:p>
    <w:p>
      <w:pPr>
        <w:pStyle w:val="TOC 2"/>
        <w:numPr>
          <w:ilvl w:val="1"/>
          <w:numId w:val="11"/>
        </w:numPr>
      </w:pPr>
      <w:r>
        <w:rPr>
          <w:rFonts w:cs="Arial Unicode MS" w:eastAsia="Arial Unicode MS"/>
          <w:rtl w:val="0"/>
        </w:rPr>
        <w:t>Transfer Process</w:t>
        <w:tab/>
      </w:r>
      <w:r>
        <w:rPr/>
        <w:fldChar w:fldCharType="begin" w:fldLock="0"/>
      </w:r>
      <w:r>
        <w:instrText xml:space="preserve"> PAGEREF _Toc13 \h </w:instrText>
      </w:r>
      <w:r>
        <w:rPr/>
        <w:fldChar w:fldCharType="separate" w:fldLock="0"/>
      </w:r>
      <w:r>
        <w:rPr>
          <w:rFonts w:cs="Arial Unicode MS" w:eastAsia="Arial Unicode MS"/>
          <w:rtl w:val="0"/>
        </w:rPr>
        <w:t>5</w:t>
      </w:r>
      <w:r>
        <w:rPr/>
        <w:fldChar w:fldCharType="end" w:fldLock="0"/>
      </w:r>
    </w:p>
    <w:p>
      <w:pPr>
        <w:pStyle w:val="TOC 2"/>
        <w:numPr>
          <w:ilvl w:val="1"/>
          <w:numId w:val="12"/>
        </w:numPr>
      </w:pPr>
      <w:r>
        <w:rPr>
          <w:rFonts w:cs="Arial Unicode MS" w:eastAsia="Arial Unicode MS"/>
          <w:rtl w:val="0"/>
        </w:rPr>
        <w:t>Real Estate Asset Type</w:t>
        <w:tab/>
      </w:r>
      <w:r>
        <w:rPr/>
        <w:fldChar w:fldCharType="begin" w:fldLock="0"/>
      </w:r>
      <w:r>
        <w:instrText xml:space="preserve"> PAGEREF _Toc14 \h </w:instrText>
      </w:r>
      <w:r>
        <w:rPr/>
        <w:fldChar w:fldCharType="separate" w:fldLock="0"/>
      </w:r>
      <w:r>
        <w:rPr>
          <w:rFonts w:cs="Arial Unicode MS" w:eastAsia="Arial Unicode MS"/>
          <w:rtl w:val="0"/>
        </w:rPr>
        <w:t>5</w:t>
      </w:r>
      <w:r>
        <w:rPr/>
        <w:fldChar w:fldCharType="end" w:fldLock="0"/>
      </w:r>
    </w:p>
    <w:p>
      <w:pPr>
        <w:pStyle w:val="TOC 2"/>
        <w:numPr>
          <w:ilvl w:val="1"/>
          <w:numId w:val="13"/>
        </w:numPr>
      </w:pPr>
      <w:r>
        <w:rPr>
          <w:rFonts w:cs="Arial Unicode MS" w:eastAsia="Arial Unicode MS"/>
          <w:rtl w:val="0"/>
        </w:rPr>
        <w:t>Title &amp; Occupancy Information (Seller/Buyer or Current Owner)</w:t>
        <w:tab/>
      </w:r>
      <w:r>
        <w:rPr/>
        <w:fldChar w:fldCharType="begin" w:fldLock="0"/>
      </w:r>
      <w:r>
        <w:instrText xml:space="preserve"> PAGEREF _Toc15 \h </w:instrText>
      </w:r>
      <w:r>
        <w:rPr/>
        <w:fldChar w:fldCharType="separate" w:fldLock="0"/>
      </w:r>
      <w:r>
        <w:rPr>
          <w:rFonts w:cs="Arial Unicode MS" w:eastAsia="Arial Unicode MS"/>
          <w:rtl w:val="0"/>
        </w:rPr>
        <w:t>5</w:t>
      </w:r>
      <w:r>
        <w:rPr/>
        <w:fldChar w:fldCharType="end" w:fldLock="0"/>
      </w:r>
    </w:p>
    <w:p>
      <w:pPr>
        <w:pStyle w:val="TOC 2"/>
        <w:numPr>
          <w:ilvl w:val="1"/>
          <w:numId w:val="14"/>
        </w:numPr>
      </w:pPr>
      <w:r>
        <w:rPr>
          <w:rFonts w:cs="Arial Unicode MS" w:eastAsia="Arial Unicode MS"/>
          <w:rtl w:val="0"/>
        </w:rPr>
        <w:t>Due Diligence Documents</w:t>
        <w:tab/>
      </w:r>
      <w:r>
        <w:rPr/>
        <w:fldChar w:fldCharType="begin" w:fldLock="0"/>
      </w:r>
      <w:r>
        <w:instrText xml:space="preserve"> PAGEREF _Toc16 \h </w:instrText>
      </w:r>
      <w:r>
        <w:rPr/>
        <w:fldChar w:fldCharType="separate" w:fldLock="0"/>
      </w:r>
      <w:r>
        <w:rPr>
          <w:rFonts w:cs="Arial Unicode MS" w:eastAsia="Arial Unicode MS"/>
          <w:rtl w:val="0"/>
        </w:rPr>
        <w:t>6</w:t>
      </w:r>
      <w:r>
        <w:rPr/>
        <w:fldChar w:fldCharType="end" w:fldLock="0"/>
      </w:r>
    </w:p>
    <w:p>
      <w:pPr>
        <w:pStyle w:val="TOC 2"/>
        <w:numPr>
          <w:ilvl w:val="1"/>
          <w:numId w:val="15"/>
        </w:numPr>
      </w:pPr>
      <w:r>
        <w:rPr>
          <w:rFonts w:cs="Arial Unicode MS" w:eastAsia="Arial Unicode MS"/>
          <w:rtl w:val="0"/>
        </w:rPr>
        <w:t>Inheritance Law</w:t>
        <w:tab/>
      </w:r>
      <w:r>
        <w:rPr/>
        <w:fldChar w:fldCharType="begin" w:fldLock="0"/>
      </w:r>
      <w:r>
        <w:instrText xml:space="preserve"> PAGEREF _Toc17 \h </w:instrText>
      </w:r>
      <w:r>
        <w:rPr/>
        <w:fldChar w:fldCharType="separate" w:fldLock="0"/>
      </w:r>
      <w:r>
        <w:rPr>
          <w:rFonts w:cs="Arial Unicode MS" w:eastAsia="Arial Unicode MS"/>
          <w:rtl w:val="0"/>
        </w:rPr>
        <w:t>6</w:t>
      </w:r>
      <w:r>
        <w:rPr/>
        <w:fldChar w:fldCharType="end" w:fldLock="0"/>
      </w:r>
    </w:p>
    <w:p>
      <w:pPr>
        <w:pStyle w:val="TOC 2"/>
        <w:numPr>
          <w:ilvl w:val="1"/>
          <w:numId w:val="16"/>
        </w:numPr>
      </w:pPr>
      <w:r>
        <w:rPr>
          <w:rFonts w:cs="Arial Unicode MS" w:eastAsia="Arial Unicode MS"/>
          <w:rtl w:val="0"/>
        </w:rPr>
        <w:t>Legacy system</w:t>
        <w:tab/>
      </w:r>
      <w:r>
        <w:rPr/>
        <w:fldChar w:fldCharType="begin" w:fldLock="0"/>
      </w:r>
      <w:r>
        <w:instrText xml:space="preserve"> PAGEREF _Toc18 \h </w:instrText>
      </w:r>
      <w:r>
        <w:rPr/>
        <w:fldChar w:fldCharType="separate" w:fldLock="0"/>
      </w:r>
      <w:r>
        <w:rPr>
          <w:rFonts w:cs="Arial Unicode MS" w:eastAsia="Arial Unicode MS"/>
          <w:rtl w:val="0"/>
        </w:rPr>
        <w:t>7</w:t>
      </w:r>
      <w:r>
        <w:rPr/>
        <w:fldChar w:fldCharType="end" w:fldLock="0"/>
      </w:r>
    </w:p>
    <w:p>
      <w:pPr>
        <w:pStyle w:val="TOC 2"/>
        <w:numPr>
          <w:ilvl w:val="1"/>
          <w:numId w:val="17"/>
        </w:numPr>
      </w:pPr>
      <w:r>
        <w:rPr>
          <w:rFonts w:cs="Arial Unicode MS" w:eastAsia="Arial Unicode MS"/>
          <w:rtl w:val="0"/>
        </w:rPr>
        <w:t>Speed of Title Record System</w:t>
        <w:tab/>
      </w:r>
      <w:r>
        <w:rPr/>
        <w:fldChar w:fldCharType="begin" w:fldLock="0"/>
      </w:r>
      <w:r>
        <w:instrText xml:space="preserve"> PAGEREF _Toc19 \h </w:instrText>
      </w:r>
      <w:r>
        <w:rPr/>
        <w:fldChar w:fldCharType="separate" w:fldLock="0"/>
      </w:r>
      <w:r>
        <w:rPr>
          <w:rFonts w:cs="Arial Unicode MS" w:eastAsia="Arial Unicode MS"/>
          <w:rtl w:val="0"/>
        </w:rPr>
        <w:t>7</w:t>
      </w:r>
      <w:r>
        <w:rPr/>
        <w:fldChar w:fldCharType="end" w:fldLock="0"/>
      </w:r>
    </w:p>
    <w:p>
      <w:pPr>
        <w:pStyle w:val="TOC 2"/>
        <w:numPr>
          <w:ilvl w:val="1"/>
          <w:numId w:val="18"/>
        </w:numPr>
      </w:pPr>
      <w:r>
        <w:rPr>
          <w:rFonts w:cs="Arial Unicode MS" w:eastAsia="Arial Unicode MS"/>
          <w:rtl w:val="0"/>
        </w:rPr>
        <w:t>Paper Record</w:t>
        <w:tab/>
      </w:r>
      <w:r>
        <w:rPr/>
        <w:fldChar w:fldCharType="begin" w:fldLock="0"/>
      </w:r>
      <w:r>
        <w:instrText xml:space="preserve"> PAGEREF _Toc20 \h </w:instrText>
      </w:r>
      <w:r>
        <w:rPr/>
        <w:fldChar w:fldCharType="separate" w:fldLock="0"/>
      </w:r>
      <w:r>
        <w:rPr>
          <w:rFonts w:cs="Arial Unicode MS" w:eastAsia="Arial Unicode MS"/>
          <w:rtl w:val="0"/>
        </w:rPr>
        <w:t>7</w:t>
      </w:r>
      <w:r>
        <w:rPr/>
        <w:fldChar w:fldCharType="end" w:fldLock="0"/>
      </w:r>
    </w:p>
    <w:p>
      <w:pPr>
        <w:pStyle w:val="TOC 2"/>
        <w:numPr>
          <w:ilvl w:val="1"/>
          <w:numId w:val="19"/>
        </w:numPr>
      </w:pPr>
      <w:r>
        <w:rPr>
          <w:rFonts w:cs="Arial Unicode MS" w:eastAsia="Arial Unicode MS"/>
          <w:rtl w:val="0"/>
        </w:rPr>
        <w:t>GIS Data/Record of Surveys Updates</w:t>
        <w:tab/>
      </w:r>
      <w:r>
        <w:rPr/>
        <w:fldChar w:fldCharType="begin" w:fldLock="0"/>
      </w:r>
      <w:r>
        <w:instrText xml:space="preserve"> PAGEREF _Toc21 \h </w:instrText>
      </w:r>
      <w:r>
        <w:rPr/>
        <w:fldChar w:fldCharType="separate" w:fldLock="0"/>
      </w:r>
      <w:r>
        <w:rPr>
          <w:rFonts w:cs="Arial Unicode MS" w:eastAsia="Arial Unicode MS"/>
          <w:rtl w:val="0"/>
        </w:rPr>
        <w:t>7</w:t>
      </w:r>
      <w:r>
        <w:rPr/>
        <w:fldChar w:fldCharType="end" w:fldLock="0"/>
      </w:r>
    </w:p>
    <w:p>
      <w:pPr>
        <w:pStyle w:val="TOC 2"/>
        <w:numPr>
          <w:ilvl w:val="1"/>
          <w:numId w:val="20"/>
        </w:numPr>
      </w:pPr>
      <w:r>
        <w:rPr>
          <w:rFonts w:cs="Arial Unicode MS" w:eastAsia="Arial Unicode MS"/>
          <w:rtl w:val="0"/>
        </w:rPr>
        <w:t>Government Orders</w:t>
        <w:tab/>
      </w:r>
      <w:r>
        <w:rPr/>
        <w:fldChar w:fldCharType="begin" w:fldLock="0"/>
      </w:r>
      <w:r>
        <w:instrText xml:space="preserve"> PAGEREF _Toc22 \h </w:instrText>
      </w:r>
      <w:r>
        <w:rPr/>
        <w:fldChar w:fldCharType="separate" w:fldLock="0"/>
      </w:r>
      <w:r>
        <w:rPr>
          <w:rFonts w:cs="Arial Unicode MS" w:eastAsia="Arial Unicode MS"/>
          <w:rtl w:val="0"/>
        </w:rPr>
        <w:t>7</w:t>
      </w:r>
      <w:r>
        <w:rPr/>
        <w:fldChar w:fldCharType="end" w:fldLock="0"/>
      </w:r>
    </w:p>
    <w:p>
      <w:pPr>
        <w:pStyle w:val="TOC 2"/>
        <w:numPr>
          <w:ilvl w:val="1"/>
          <w:numId w:val="21"/>
        </w:numPr>
      </w:pPr>
      <w:r>
        <w:rPr>
          <w:rFonts w:cs="Arial Unicode MS" w:eastAsia="Arial Unicode MS"/>
          <w:rtl w:val="0"/>
        </w:rPr>
        <w:t>Financial Exchanges</w:t>
        <w:tab/>
      </w:r>
      <w:r>
        <w:rPr/>
        <w:fldChar w:fldCharType="begin" w:fldLock="0"/>
      </w:r>
      <w:r>
        <w:instrText xml:space="preserve"> PAGEREF _Toc23 \h </w:instrText>
      </w:r>
      <w:r>
        <w:rPr/>
        <w:fldChar w:fldCharType="separate" w:fldLock="0"/>
      </w:r>
      <w:r>
        <w:rPr>
          <w:rFonts w:cs="Arial Unicode MS" w:eastAsia="Arial Unicode MS"/>
          <w:rtl w:val="0"/>
        </w:rPr>
        <w:t>7</w:t>
      </w:r>
      <w:r>
        <w:rPr/>
        <w:fldChar w:fldCharType="end" w:fldLock="0"/>
      </w:r>
    </w:p>
    <w:p>
      <w:pPr>
        <w:pStyle w:val="TOC 2"/>
        <w:numPr>
          <w:ilvl w:val="1"/>
          <w:numId w:val="22"/>
        </w:numPr>
      </w:pPr>
      <w:r>
        <w:rPr>
          <w:rFonts w:cs="Arial Unicode MS" w:eastAsia="Arial Unicode MS"/>
          <w:rtl w:val="0"/>
        </w:rPr>
        <w:t>Environment Information</w:t>
        <w:tab/>
      </w:r>
      <w:r>
        <w:rPr/>
        <w:fldChar w:fldCharType="begin" w:fldLock="0"/>
      </w:r>
      <w:r>
        <w:instrText xml:space="preserve"> PAGEREF _Toc24 \h </w:instrText>
      </w:r>
      <w:r>
        <w:rPr/>
        <w:fldChar w:fldCharType="separate" w:fldLock="0"/>
      </w:r>
      <w:r>
        <w:rPr>
          <w:rFonts w:cs="Arial Unicode MS" w:eastAsia="Arial Unicode MS"/>
          <w:rtl w:val="0"/>
        </w:rPr>
        <w:t>8</w:t>
      </w:r>
      <w:r>
        <w:rPr/>
        <w:fldChar w:fldCharType="end" w:fldLock="0"/>
      </w:r>
    </w:p>
    <w:p>
      <w:pPr>
        <w:pStyle w:val="TOC 1"/>
      </w:pPr>
      <w:r>
        <w:rPr>
          <w:rFonts w:cs="Arial Unicode MS" w:eastAsia="Arial Unicode MS"/>
          <w:rtl w:val="0"/>
        </w:rPr>
        <w:t>Appendix A: Definitions</w:t>
        <w:tab/>
      </w:r>
      <w:r>
        <w:rPr/>
        <w:fldChar w:fldCharType="begin" w:fldLock="0"/>
      </w:r>
      <w:r>
        <w:instrText xml:space="preserve"> PAGEREF _Toc25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rtl w:val="0"/>
        </w:rPr>
        <w:t>Appendix B: Land Title Data Standards</w:t>
        <w:tab/>
      </w:r>
      <w:r>
        <w:rPr/>
        <w:fldChar w:fldCharType="begin" w:fldLock="0"/>
      </w:r>
      <w:r>
        <w:instrText xml:space="preserve"> PAGEREF _Toc26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rPr>
        <w:t>Appendix X: Authors &amp; Contributors</w:t>
        <w:tab/>
      </w:r>
      <w:r>
        <w:rPr/>
        <w:fldChar w:fldCharType="begin" w:fldLock="0"/>
      </w:r>
      <w:r>
        <w:instrText xml:space="preserve"> PAGEREF _Toc27 \h </w:instrText>
      </w:r>
      <w:r>
        <w:rPr/>
        <w:fldChar w:fldCharType="separate" w:fldLock="0"/>
      </w:r>
      <w:r>
        <w:rPr>
          <w:rFonts w:cs="Arial Unicode MS" w:eastAsia="Arial Unicode MS"/>
          <w:rtl w:val="0"/>
        </w:rPr>
        <w:t>13</w:t>
      </w:r>
      <w:r>
        <w:rPr/>
        <w:fldChar w:fldCharType="end" w:fldLock="0"/>
      </w:r>
    </w:p>
    <w:p>
      <w:pPr>
        <w:pStyle w:val="TOC 1"/>
        <w:numPr>
          <w:ilvl w:val="0"/>
          <w:numId w:val="23"/>
        </w:numPr>
      </w:pPr>
      <w:r>
        <w:rPr>
          <w:rFonts w:cs="Arial Unicode MS" w:eastAsia="Arial Unicode MS"/>
          <w:rtl w:val="0"/>
        </w:rPr>
        <w:t>Parking Lot</w:t>
        <w:tab/>
      </w:r>
      <w:r>
        <w:rPr/>
        <w:fldChar w:fldCharType="begin" w:fldLock="0"/>
      </w:r>
      <w:r>
        <w:instrText xml:space="preserve"> PAGEREF _Toc28 \h </w:instrText>
      </w:r>
      <w:r>
        <w:rPr/>
        <w:fldChar w:fldCharType="separate" w:fldLock="0"/>
      </w:r>
      <w:r>
        <w:rPr>
          <w:rFonts w:cs="Arial Unicode MS" w:eastAsia="Arial Unicode MS"/>
          <w:rtl w:val="0"/>
        </w:rPr>
        <w:t>14</w:t>
      </w:r>
      <w:r>
        <w:rPr/>
        <w:fldChar w:fldCharType="end" w:fldLock="0"/>
      </w:r>
    </w:p>
    <w:p>
      <w:pPr>
        <w:tabs>
          <w:tab w:val="left" w:pos="435"/>
          <w:tab w:val="right" w:pos="9540" w:leader="dot"/>
        </w:tabs>
        <w:rPr>
          <w:rStyle w:val="Link"/>
          <w:outline w:val="0"/>
          <w:color w:val="000000"/>
          <w:u w:color="000000"/>
          <w14:textFill>
            <w14:solidFill>
              <w14:srgbClr w14:val="000000"/>
            </w14:solidFill>
          </w14:textFill>
        </w:rPr>
      </w:pPr>
      <w:r>
        <w:rPr>
          <w:rFonts w:ascii="Times New Roman" w:cs="Times New Roman" w:hAnsi="Times New Roman" w:eastAsia="Times New Roman"/>
        </w:rPr>
        <w:fldChar w:fldCharType="end" w:fldLock="0"/>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sectPr>
          <w:headerReference w:type="default" r:id="rId8"/>
          <w:pgSz w:w="12240" w:h="15840" w:orient="portrait"/>
          <w:pgMar w:top="1380" w:right="1340" w:bottom="280" w:left="1340" w:header="720" w:footer="0"/>
          <w:pgNumType w:start="1"/>
          <w:bidi w:val="0"/>
        </w:sect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before="5" w:after="0" w:line="120" w:lineRule="exact"/>
        <w:rPr>
          <w:rFonts w:ascii="Times New Roman" w:cs="Times New Roman" w:hAnsi="Times New Roman" w:eastAsia="Times New Roman"/>
          <w:sz w:val="12"/>
          <w:szCs w:val="12"/>
        </w:rPr>
      </w:pPr>
    </w:p>
    <w:p>
      <w:pPr>
        <w:pStyle w:val="Heading"/>
        <w:numPr>
          <w:ilvl w:val="0"/>
          <w:numId w:val="25"/>
        </w:numPr>
        <w:bidi w:val="0"/>
        <w:ind w:right="0"/>
        <w:jc w:val="left"/>
        <w:rPr>
          <w:rtl w:val="0"/>
        </w:rPr>
      </w:pPr>
      <w:bookmarkStart w:name="_Toc" w:id="0"/>
      <w:r>
        <w:rPr>
          <w:rtl w:val="0"/>
          <w:lang w:val="fr-FR"/>
        </w:rPr>
        <w:t>Introduction</w:t>
      </w:r>
      <w:bookmarkEnd w:id="0"/>
    </w:p>
    <w:p>
      <w:pPr>
        <w:pStyle w:val="Body"/>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This document is a supplement of the BMM and will be subject to meet the following criteria.</w:t>
      </w:r>
    </w:p>
    <w:p>
      <w:pPr>
        <w:pStyle w:val="Body"/>
        <w:widowControl w:val="0"/>
        <w:spacing w:after="0" w:line="200" w:lineRule="exact"/>
        <w:rPr>
          <w:rFonts w:ascii="Times New Roman" w:cs="Times New Roman" w:hAnsi="Times New Roman" w:eastAsia="Times New Roman"/>
          <w:sz w:val="20"/>
          <w:szCs w:val="20"/>
        </w:rPr>
      </w:pPr>
    </w:p>
    <w:p>
      <w:pPr>
        <w:pStyle w:val="Heading 2"/>
        <w:numPr>
          <w:ilvl w:val="1"/>
          <w:numId w:val="25"/>
        </w:numPr>
      </w:pPr>
      <w:bookmarkStart w:name="_Toc1" w:id="1"/>
      <w:r>
        <w:rPr>
          <w:rFonts w:cs="Arial Unicode MS" w:eastAsia="Arial Unicode MS"/>
          <w:rtl w:val="0"/>
          <w:lang w:val="en-US"/>
        </w:rPr>
        <w:t>Purpose</w:t>
      </w:r>
      <w:bookmarkEnd w:id="1"/>
    </w:p>
    <w:p>
      <w:pPr>
        <w:pStyle w:val="Body"/>
        <w:ind w:left="576" w:firstLine="0"/>
      </w:pPr>
      <w:r>
        <w:rPr>
          <w:rtl w:val="0"/>
          <w:lang w:val="en-US"/>
        </w:rPr>
        <w:t xml:space="preserve">This document is used as a supplement to the Blockchain Maturity Model (BMM) and is used to assess solutions, using blockchain technology to maintain the </w:t>
      </w:r>
      <w:r>
        <w:rPr>
          <w:spacing w:val="0"/>
          <w:rtl w:val="0"/>
        </w:rPr>
        <w:t>r</w:t>
      </w:r>
      <w:r>
        <w:rPr>
          <w:rtl w:val="0"/>
          <w:lang w:val="nl-NL"/>
        </w:rPr>
        <w:t>egister</w:t>
      </w:r>
      <w:r>
        <w:rPr>
          <w:spacing w:val="0"/>
          <w:rtl w:val="0"/>
        </w:rPr>
        <w:t xml:space="preserve"> </w:t>
      </w:r>
      <w:r>
        <w:rPr>
          <w:rtl w:val="0"/>
          <w:lang w:val="en-US"/>
        </w:rPr>
        <w:t xml:space="preserve">of </w:t>
      </w:r>
      <w:r>
        <w:rPr>
          <w:spacing w:val="0"/>
          <w:rtl w:val="0"/>
        </w:rPr>
        <w:t>r</w:t>
      </w:r>
      <w:r>
        <w:rPr>
          <w:rtl w:val="0"/>
          <w:lang w:val="en-US"/>
        </w:rPr>
        <w:t>eal p</w:t>
      </w:r>
      <w:r>
        <w:rPr>
          <w:spacing w:val="0"/>
          <w:rtl w:val="0"/>
        </w:rPr>
        <w:t>r</w:t>
      </w:r>
      <w:r>
        <w:rPr>
          <w:rtl w:val="0"/>
          <w:lang w:val="en-US"/>
        </w:rPr>
        <w:t xml:space="preserve">operty </w:t>
      </w:r>
      <w:r>
        <w:rPr>
          <w:spacing w:val="0"/>
          <w:rtl w:val="0"/>
        </w:rPr>
        <w:t>r</w:t>
      </w:r>
      <w:r>
        <w:rPr>
          <w:rtl w:val="0"/>
          <w:lang w:val="fr-FR"/>
        </w:rPr>
        <w:t>ecord, p</w:t>
      </w:r>
      <w:r>
        <w:rPr>
          <w:spacing w:val="0"/>
          <w:rtl w:val="0"/>
        </w:rPr>
        <w:t>r</w:t>
      </w:r>
      <w:r>
        <w:rPr>
          <w:rtl w:val="0"/>
          <w:lang w:val="en-US"/>
        </w:rPr>
        <w:t>ocess transfer</w:t>
      </w:r>
      <w:r>
        <w:rPr>
          <w:spacing w:val="0"/>
          <w:rtl w:val="0"/>
        </w:rPr>
        <w:t xml:space="preserve"> </w:t>
      </w:r>
      <w:r>
        <w:rPr>
          <w:rtl w:val="0"/>
          <w:lang w:val="en-US"/>
        </w:rPr>
        <w:t xml:space="preserve">of ownership, update </w:t>
      </w:r>
      <w:r>
        <w:rPr>
          <w:spacing w:val="0"/>
          <w:rtl w:val="0"/>
        </w:rPr>
        <w:t>r</w:t>
      </w:r>
      <w:r>
        <w:rPr>
          <w:rtl w:val="0"/>
          <w:lang w:val="en-US"/>
        </w:rPr>
        <w:t>ecord of ownership and notify to all parties concerned.</w:t>
      </w:r>
    </w:p>
    <w:p>
      <w:pPr>
        <w:pStyle w:val="Body"/>
        <w:ind w:left="100" w:firstLine="0"/>
      </w:pPr>
      <w:r>
        <w:rPr>
          <w:rtl w:val="0"/>
          <w:lang w:val="en-US"/>
        </w:rPr>
        <w:t>II.</w:t>
        <w:tab/>
        <w:t>Real P</w:t>
      </w:r>
      <w:r>
        <w:rPr>
          <w:spacing w:val="0"/>
          <w:rtl w:val="0"/>
        </w:rPr>
        <w:t>r</w:t>
      </w:r>
      <w:r>
        <w:rPr>
          <w:rtl w:val="0"/>
          <w:lang w:val="en-US"/>
        </w:rPr>
        <w:t>operty Defined: Real p</w:t>
      </w:r>
      <w:r>
        <w:rPr>
          <w:spacing w:val="0"/>
          <w:rtl w:val="0"/>
        </w:rPr>
        <w:t>r</w:t>
      </w:r>
      <w:r>
        <w:rPr>
          <w:rtl w:val="0"/>
          <w:lang w:val="en-US"/>
        </w:rPr>
        <w:t>operty is a pa</w:t>
      </w:r>
      <w:r>
        <w:rPr>
          <w:spacing w:val="0"/>
          <w:rtl w:val="0"/>
        </w:rPr>
        <w:t>r</w:t>
      </w:r>
      <w:r>
        <w:rPr>
          <w:rtl w:val="0"/>
          <w:lang w:val="en-US"/>
        </w:rPr>
        <w:t>cel of land and everything that is permanently attached to the land.</w:t>
      </w:r>
      <w:r>
        <w:rPr>
          <w:spacing w:val="0"/>
          <w:rtl w:val="0"/>
        </w:rPr>
        <w:t xml:space="preserve"> </w:t>
      </w:r>
      <w:r>
        <w:rPr>
          <w:rtl w:val="0"/>
          <w:lang w:val="en-US"/>
        </w:rPr>
        <w:t>The owner</w:t>
      </w:r>
      <w:r>
        <w:rPr>
          <w:spacing w:val="0"/>
          <w:rtl w:val="0"/>
        </w:rPr>
        <w:t xml:space="preserve"> </w:t>
      </w:r>
      <w:r>
        <w:rPr>
          <w:rtl w:val="0"/>
          <w:lang w:val="en-US"/>
        </w:rPr>
        <w:t xml:space="preserve">of </w:t>
      </w:r>
      <w:r>
        <w:rPr>
          <w:spacing w:val="0"/>
          <w:rtl w:val="0"/>
        </w:rPr>
        <w:t>r</w:t>
      </w:r>
      <w:r>
        <w:rPr>
          <w:rtl w:val="0"/>
          <w:lang w:val="en-US"/>
        </w:rPr>
        <w:t>eal p</w:t>
      </w:r>
      <w:r>
        <w:rPr>
          <w:spacing w:val="0"/>
          <w:rtl w:val="0"/>
        </w:rPr>
        <w:t>r</w:t>
      </w:r>
      <w:r>
        <w:rPr>
          <w:rtl w:val="0"/>
          <w:lang w:val="en-US"/>
        </w:rPr>
        <w:t>operty has all of the rights of ownership, including the right to possess, sell, lease, and enjoy the land.</w:t>
      </w: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before="17" w:after="0" w:line="260" w:lineRule="exact"/>
        <w:rPr>
          <w:rFonts w:ascii="Times New Roman" w:cs="Times New Roman" w:hAnsi="Times New Roman" w:eastAsia="Times New Roman"/>
          <w:sz w:val="26"/>
          <w:szCs w:val="26"/>
        </w:rPr>
      </w:pPr>
    </w:p>
    <w:p>
      <w:pPr>
        <w:pStyle w:val="Body"/>
        <w:widowControl w:val="0"/>
        <w:spacing w:before="7" w:after="0" w:line="150" w:lineRule="exact"/>
        <w:rPr>
          <w:rFonts w:ascii="Times New Roman" w:cs="Times New Roman" w:hAnsi="Times New Roman" w:eastAsia="Times New Roman"/>
          <w:sz w:val="15"/>
          <w:szCs w:val="15"/>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rPr>
        <w:t xml:space="preserve">B. </w:t>
      </w:r>
      <w:r>
        <w:rPr>
          <w:rFonts w:ascii="Times New Roman" w:hAnsi="Times New Roman"/>
          <w:b w:val="1"/>
          <w:bCs w:val="1"/>
          <w:spacing w:val="57"/>
          <w:sz w:val="26"/>
          <w:szCs w:val="26"/>
          <w:rtl w:val="0"/>
        </w:rPr>
        <w:t xml:space="preserve"> </w:t>
      </w:r>
      <w:r>
        <w:rPr>
          <w:rFonts w:ascii="Times New Roman" w:hAnsi="Times New Roman"/>
          <w:b w:val="1"/>
          <w:bCs w:val="1"/>
          <w:sz w:val="26"/>
          <w:szCs w:val="26"/>
          <w:rtl w:val="0"/>
          <w:lang w:val="en-US"/>
        </w:rPr>
        <w:t>Identification/Ownership verification of the p</w:t>
      </w:r>
      <w:r>
        <w:rPr>
          <w:rFonts w:ascii="Times New Roman" w:hAnsi="Times New Roman"/>
          <w:b w:val="1"/>
          <w:bCs w:val="1"/>
          <w:spacing w:val="-5"/>
          <w:sz w:val="26"/>
          <w:szCs w:val="26"/>
          <w:rtl w:val="0"/>
        </w:rPr>
        <w:t>r</w:t>
      </w:r>
      <w:r>
        <w:rPr>
          <w:rFonts w:ascii="Times New Roman" w:hAnsi="Times New Roman"/>
          <w:b w:val="1"/>
          <w:bCs w:val="1"/>
          <w:sz w:val="26"/>
          <w:szCs w:val="26"/>
          <w:rtl w:val="0"/>
          <w:lang w:val="en-US"/>
        </w:rPr>
        <w:t>operty description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1.</w:t>
        <w:tab/>
        <w:t>Geographic and physical attributes (coordinates, landmarks, etc.) of the propert</w:t>
      </w:r>
      <w:r>
        <w:rPr>
          <w:rFonts w:ascii="Times New Roman" w:hAnsi="Times New Roman"/>
          <w:spacing w:val="-16"/>
          <w:sz w:val="24"/>
          <w:szCs w:val="24"/>
          <w:rtl w:val="0"/>
        </w:rPr>
        <w:t>y</w:t>
      </w:r>
      <w:r>
        <w:rPr>
          <w:rFonts w:ascii="Times New Roman" w:hAnsi="Times New Roman"/>
          <w:sz w:val="24"/>
          <w:szCs w:val="24"/>
          <w:rtl w:val="0"/>
        </w:rPr>
        <w:t>.</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en-US"/>
        </w:rPr>
        <w:t>Legal Description if applicable and incorporate GIS data (Software suggestion is</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it-IT"/>
        </w:rPr>
        <w:t>CAMA</w:t>
      </w:r>
      <w:r>
        <w:rPr>
          <w:rFonts w:ascii="Times New Roman" w:hAnsi="Times New Roman"/>
          <w:spacing w:val="-13"/>
          <w:sz w:val="24"/>
          <w:szCs w:val="24"/>
          <w:rtl w:val="0"/>
        </w:rPr>
        <w:t xml:space="preserve"> </w:t>
      </w:r>
      <w:r>
        <w:rPr>
          <w:rFonts w:ascii="Times New Roman" w:hAnsi="Times New Roman"/>
          <w:sz w:val="24"/>
          <w:szCs w:val="24"/>
          <w:rtl w:val="0"/>
          <w:lang w:val="en-US"/>
        </w:rPr>
        <w:t>software, used by</w:t>
      </w:r>
      <w:r>
        <w:rPr>
          <w:rFonts w:ascii="Times New Roman" w:hAnsi="Times New Roman"/>
          <w:spacing w:val="-13"/>
          <w:sz w:val="24"/>
          <w:szCs w:val="24"/>
          <w:rtl w:val="0"/>
        </w:rPr>
        <w:t xml:space="preserve"> </w:t>
      </w:r>
      <w:r>
        <w:rPr>
          <w:rFonts w:ascii="Times New Roman" w:hAnsi="Times New Roman"/>
          <w:sz w:val="24"/>
          <w:szCs w:val="24"/>
          <w:rtl w:val="0"/>
          <w:lang w:val="it-IT"/>
        </w:rPr>
        <w:t>Assessors,</w:t>
      </w:r>
      <w:r>
        <w:rPr>
          <w:rFonts w:ascii="Times New Roman" w:hAnsi="Times New Roman"/>
          <w:spacing w:val="-13"/>
          <w:sz w:val="24"/>
          <w:szCs w:val="24"/>
          <w:rtl w:val="0"/>
        </w:rPr>
        <w:t xml:space="preserve"> </w:t>
      </w:r>
      <w:r>
        <w:rPr>
          <w:rFonts w:ascii="Times New Roman" w:hAnsi="Times New Roman"/>
          <w:sz w:val="24"/>
          <w:szCs w:val="24"/>
          <w:rtl w:val="0"/>
          <w:lang w:val="en-US"/>
        </w:rPr>
        <w:t>Appraisers and Modelers)</w:t>
      </w:r>
    </w:p>
    <w:p>
      <w:pPr>
        <w:pStyle w:val="Body"/>
        <w:widowControl w:val="0"/>
        <w:spacing w:before="24" w:after="0" w:line="240" w:lineRule="auto"/>
        <w:rPr>
          <w:rFonts w:ascii="Times New Roman" w:cs="Times New Roman" w:hAnsi="Times New Roman" w:eastAsia="Times New Roman"/>
          <w:sz w:val="24"/>
          <w:szCs w:val="24"/>
        </w:rPr>
      </w:pPr>
    </w:p>
    <w:p>
      <w:pPr>
        <w:pStyle w:val="Body"/>
        <w:widowControl w:val="0"/>
        <w:spacing w:before="24" w:after="0" w:line="240" w:lineRule="auto"/>
        <w:ind w:left="1213" w:firstLine="0"/>
        <w:rPr>
          <w:rFonts w:ascii="Times New Roman" w:cs="Times New Roman" w:hAnsi="Times New Roman" w:eastAsia="Times New Roman"/>
          <w:sz w:val="24"/>
          <w:szCs w:val="24"/>
        </w:rPr>
      </w:pPr>
    </w:p>
    <w:p>
      <w:pPr>
        <w:pStyle w:val="Body"/>
        <w:widowControl w:val="0"/>
        <w:spacing w:after="0" w:line="180" w:lineRule="exact"/>
        <w:rPr>
          <w:rFonts w:ascii="Times New Roman" w:cs="Times New Roman" w:hAnsi="Times New Roman" w:eastAsia="Times New Roman"/>
          <w:sz w:val="18"/>
          <w:szCs w:val="18"/>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lang w:val="it-IT"/>
        </w:rPr>
        <w:t xml:space="preserve">C. </w:t>
      </w:r>
      <w:r>
        <w:rPr>
          <w:rFonts w:ascii="Times New Roman" w:hAnsi="Times New Roman"/>
          <w:b w:val="1"/>
          <w:bCs w:val="1"/>
          <w:spacing w:val="42"/>
          <w:sz w:val="26"/>
          <w:szCs w:val="26"/>
          <w:rtl w:val="0"/>
        </w:rPr>
        <w:t xml:space="preserve"> </w:t>
      </w:r>
      <w:r>
        <w:rPr>
          <w:rFonts w:ascii="Times New Roman" w:hAnsi="Times New Roman"/>
          <w:b w:val="1"/>
          <w:bCs w:val="1"/>
          <w:sz w:val="26"/>
          <w:szCs w:val="26"/>
          <w:rtl w:val="0"/>
          <w:lang w:val="de-DE"/>
        </w:rPr>
        <w:t>Land</w:t>
      </w:r>
      <w:r>
        <w:rPr>
          <w:rFonts w:ascii="Times New Roman" w:hAnsi="Times New Roman"/>
          <w:b w:val="1"/>
          <w:bCs w:val="1"/>
          <w:spacing w:val="-5"/>
          <w:sz w:val="26"/>
          <w:szCs w:val="26"/>
          <w:rtl w:val="0"/>
        </w:rPr>
        <w:t xml:space="preserve"> </w:t>
      </w:r>
      <w:r>
        <w:rPr>
          <w:rFonts w:ascii="Times New Roman" w:hAnsi="Times New Roman"/>
          <w:b w:val="1"/>
          <w:bCs w:val="1"/>
          <w:spacing w:val="-24"/>
          <w:sz w:val="26"/>
          <w:szCs w:val="26"/>
          <w:rtl w:val="0"/>
        </w:rPr>
        <w:t>V</w:t>
      </w:r>
      <w:r>
        <w:rPr>
          <w:rFonts w:ascii="Times New Roman" w:hAnsi="Times New Roman"/>
          <w:b w:val="1"/>
          <w:bCs w:val="1"/>
          <w:sz w:val="26"/>
          <w:szCs w:val="26"/>
          <w:rtl w:val="0"/>
          <w:lang w:val="en-US"/>
        </w:rPr>
        <w:t>aluation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42"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be equipped to determine market based land valuation based on comparable in the identified property market, staying within a certain perimete</w:t>
      </w:r>
      <w:r>
        <w:rPr>
          <w:rFonts w:ascii="Times New Roman" w:hAnsi="Times New Roman"/>
          <w:spacing w:val="-13"/>
          <w:sz w:val="24"/>
          <w:szCs w:val="24"/>
          <w:rtl w:val="0"/>
        </w:rPr>
        <w:t>r</w:t>
      </w:r>
      <w:r>
        <w:rPr>
          <w:rFonts w:ascii="Times New Roman" w:hAnsi="Times New Roman"/>
          <w:sz w:val="24"/>
          <w:szCs w:val="24"/>
          <w:rtl w:val="0"/>
          <w:lang w:val="en-US"/>
        </w:rPr>
        <w:t>. Must have capability to identify minimum transaction value.</w:t>
      </w:r>
      <w:r>
        <w:rPr>
          <w:rFonts w:ascii="Times New Roman" w:hAnsi="Times New Roman"/>
          <w:spacing w:val="-4"/>
          <w:sz w:val="24"/>
          <w:szCs w:val="24"/>
          <w:rtl w:val="0"/>
        </w:rPr>
        <w:t xml:space="preserve"> </w:t>
      </w:r>
      <w:r>
        <w:rPr>
          <w:rFonts w:ascii="Times New Roman" w:hAnsi="Times New Roman"/>
          <w:sz w:val="24"/>
          <w:szCs w:val="24"/>
          <w:rtl w:val="0"/>
          <w:lang w:val="en-US"/>
        </w:rPr>
        <w:t>This feature will enable:</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r>
        <w:rPr>
          <w:rFonts w:ascii="Times New Roman" w:hAnsi="Times New Roman"/>
          <w:sz w:val="24"/>
          <w:szCs w:val="24"/>
          <w:rtl w:val="0"/>
          <w:lang w:val="en-US"/>
        </w:rPr>
        <w:t>a)</w:t>
        <w:tab/>
        <w:t>Collection of accurate duties and taxes</w:t>
      </w:r>
    </w:p>
    <w:p>
      <w:pPr>
        <w:pStyle w:val="Body"/>
        <w:widowControl w:val="0"/>
        <w:tabs>
          <w:tab w:val="left" w:pos="1560"/>
        </w:tabs>
        <w:spacing w:after="0" w:line="240" w:lineRule="auto"/>
        <w:ind w:left="1180" w:firstLine="0"/>
        <w:sectPr>
          <w:headerReference w:type="default" r:id="rId9"/>
          <w:pgSz w:w="12240" w:h="15840" w:orient="portrait"/>
          <w:pgMar w:top="1380" w:right="1340" w:bottom="280" w:left="1340" w:header="720" w:footer="0"/>
          <w:pgNumType w:start="1"/>
          <w:bidi w:val="0"/>
        </w:sectPr>
      </w:pPr>
    </w:p>
    <w:p>
      <w:pPr>
        <w:pStyle w:val="Body"/>
        <w:widowControl w:val="0"/>
        <w:spacing w:before="74" w:after="0" w:line="260" w:lineRule="auto"/>
        <w:ind w:left="1213" w:right="607"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Market value payment by Government upon compulsory land acquisition or private equit</w:t>
      </w:r>
      <w:r>
        <w:rPr>
          <w:rFonts w:ascii="Times New Roman" w:hAnsi="Times New Roman"/>
          <w:spacing w:val="-16"/>
          <w:sz w:val="24"/>
          <w:szCs w:val="24"/>
          <w:rtl w:val="0"/>
        </w:rPr>
        <w:t>y</w:t>
      </w:r>
      <w:r>
        <w:rPr>
          <w:rFonts w:ascii="Times New Roman" w:hAnsi="Times New Roman"/>
          <w:sz w:val="24"/>
          <w:szCs w:val="24"/>
          <w:rtl w:val="0"/>
          <w:lang w:val="en-US"/>
        </w:rPr>
        <w:t>, individual or institutional buyers.</w:t>
      </w:r>
    </w:p>
    <w:p>
      <w:pPr>
        <w:pStyle w:val="Body"/>
        <w:widowControl w:val="0"/>
        <w:spacing w:before="7" w:after="0" w:line="150" w:lineRule="exact"/>
        <w:rPr>
          <w:rFonts w:ascii="Times New Roman" w:cs="Times New Roman" w:hAnsi="Times New Roman" w:eastAsia="Times New Roman"/>
          <w:sz w:val="15"/>
          <w:szCs w:val="15"/>
        </w:rPr>
      </w:pPr>
    </w:p>
    <w:p>
      <w:pPr>
        <w:pStyle w:val="Body"/>
        <w:ind w:left="785" w:hanging="425"/>
      </w:pPr>
    </w:p>
    <w:p>
      <w:pPr>
        <w:pStyle w:val="Body"/>
      </w:pPr>
    </w:p>
    <w:p>
      <w:pPr>
        <w:pStyle w:val="Heading"/>
        <w:numPr>
          <w:ilvl w:val="0"/>
          <w:numId w:val="26"/>
        </w:numPr>
      </w:pPr>
      <w:bookmarkStart w:name="_Toc2" w:id="2"/>
      <w:r>
        <w:rPr>
          <w:rFonts w:cs="Arial Unicode MS" w:eastAsia="Arial Unicode MS"/>
          <w:rtl w:val="0"/>
          <w:lang w:val="en-US"/>
        </w:rPr>
        <w:t xml:space="preserve">Purpose: </w:t>
      </w:r>
      <w:bookmarkEnd w:id="2"/>
    </w:p>
    <w:p>
      <w:pPr>
        <w:pStyle w:val="Body"/>
        <w:ind w:left="432" w:firstLine="0"/>
      </w:pPr>
      <w:r>
        <w:rPr>
          <w:rtl w:val="0"/>
          <w:lang w:val="en-US"/>
        </w:rPr>
        <w:t>This document is used as a supplement to the Blockchain Maturity Model (BMM) and is used to assess solutions, using blockchain technology to maintain the register of real property record, process transfer of ownership, update record of ownership and notify to all parties concerned.</w:t>
      </w:r>
    </w:p>
    <w:p>
      <w:pPr>
        <w:pStyle w:val="Body"/>
      </w:pPr>
    </w:p>
    <w:p>
      <w:pPr>
        <w:pStyle w:val="Body"/>
        <w:ind w:left="432" w:firstLine="0"/>
      </w:pPr>
      <w:r>
        <w:rPr>
          <w:rtl w:val="0"/>
          <w:lang w:val="en-US"/>
        </w:rPr>
        <w:t>II. Real Property Defined: Real property is a parcel of land and everything that is permanently attached to the land. The owner of real property has all of the rights of ownership, including the right to possess, sell, lease, and enjoy the land.</w:t>
      </w:r>
    </w:p>
    <w:p>
      <w:pPr>
        <w:pStyle w:val="Heading"/>
        <w:numPr>
          <w:ilvl w:val="0"/>
          <w:numId w:val="25"/>
        </w:numPr>
      </w:pPr>
      <w:bookmarkStart w:name="_Toc3" w:id="3"/>
      <w:r>
        <w:rPr>
          <w:rFonts w:cs="Arial Unicode MS" w:eastAsia="Arial Unicode MS"/>
          <w:rtl w:val="0"/>
          <w:lang w:val="it-IT"/>
        </w:rPr>
        <w:t>Scope</w:t>
      </w:r>
      <w:bookmarkEnd w:id="3"/>
    </w:p>
    <w:p>
      <w:pPr>
        <w:pStyle w:val="Body"/>
        <w:ind w:left="432" w:firstLine="0"/>
      </w:pPr>
      <w:r>
        <w:rPr>
          <w:rtl w:val="0"/>
          <w:lang w:val="en-US"/>
        </w:rPr>
        <w:t>Solutions in-scope for this supplement are expected to have at least one or more of the following functions. They are:</w:t>
      </w:r>
    </w:p>
    <w:p>
      <w:pPr>
        <w:pStyle w:val="List Paragraph"/>
        <w:numPr>
          <w:ilvl w:val="0"/>
          <w:numId w:val="28"/>
        </w:numPr>
        <w:rPr>
          <w:lang w:val="en-US"/>
        </w:rPr>
      </w:pPr>
      <w:r>
        <w:rPr>
          <w:rtl w:val="0"/>
          <w:lang w:val="en-US"/>
        </w:rPr>
        <w:t>Transferring Real Property Rights</w:t>
      </w:r>
    </w:p>
    <w:p>
      <w:pPr>
        <w:pStyle w:val="List Paragraph"/>
        <w:numPr>
          <w:ilvl w:val="0"/>
          <w:numId w:val="28"/>
        </w:numPr>
        <w:rPr>
          <w:lang w:val="en-US"/>
        </w:rPr>
      </w:pPr>
      <w:r>
        <w:rPr>
          <w:rtl w:val="0"/>
          <w:lang w:val="en-US"/>
        </w:rPr>
        <w:t>Transferring Digital Property Rights</w:t>
      </w:r>
    </w:p>
    <w:p>
      <w:pPr>
        <w:pStyle w:val="Heading"/>
        <w:numPr>
          <w:ilvl w:val="0"/>
          <w:numId w:val="29"/>
        </w:numPr>
      </w:pPr>
      <w:bookmarkStart w:name="_Toc4" w:id="4"/>
      <w:r>
        <w:rPr>
          <w:rFonts w:cs="Arial Unicode MS" w:eastAsia="Arial Unicode MS"/>
          <w:rtl w:val="0"/>
          <w:lang w:val="en-US"/>
        </w:rPr>
        <w:t>Requirements</w:t>
      </w:r>
      <w:bookmarkEnd w:id="4"/>
    </w:p>
    <w:p>
      <w:pPr>
        <w:pStyle w:val="Heading 2"/>
        <w:numPr>
          <w:ilvl w:val="1"/>
          <w:numId w:val="25"/>
        </w:numPr>
        <w:bidi w:val="0"/>
        <w:ind w:right="0"/>
        <w:jc w:val="left"/>
        <w:rPr>
          <w:rtl w:val="0"/>
        </w:rPr>
      </w:pPr>
      <w:bookmarkStart w:name="_Toc5" w:id="5"/>
      <w:r>
        <w:rPr>
          <w:outline w:val="0"/>
          <w:color w:val="2f5496"/>
          <w:u w:color="2f5496"/>
          <w:rtl w:val="0"/>
          <w:lang w:val="en-US"/>
          <w14:textFill>
            <w14:solidFill>
              <w14:srgbClr w14:val="2F5496"/>
            </w14:solidFill>
          </w14:textFill>
        </w:rPr>
        <w:t>Interoperability</w:t>
      </w:r>
      <w:bookmarkEnd w:id="5"/>
    </w:p>
    <w:p>
      <w:pPr>
        <w:pStyle w:val="Body"/>
        <w:ind w:left="576" w:firstLine="0"/>
      </w:pPr>
      <w:r>
        <w:rPr>
          <w:rtl w:val="0"/>
          <w:lang w:val="en-US"/>
        </w:rPr>
        <w:t>The solutions shall read and/or import data that:</w:t>
      </w:r>
    </w:p>
    <w:p>
      <w:pPr>
        <w:pStyle w:val="List Paragraph"/>
        <w:numPr>
          <w:ilvl w:val="0"/>
          <w:numId w:val="31"/>
        </w:numPr>
        <w:rPr>
          <w:lang w:val="en-US"/>
        </w:rPr>
      </w:pPr>
      <w:r>
        <w:rPr>
          <w:rtl w:val="0"/>
          <w:lang w:val="en-US"/>
        </w:rPr>
        <w:t>Defines the property known characteristics that includes both geometric and attributes.</w:t>
      </w:r>
    </w:p>
    <w:p>
      <w:pPr>
        <w:pStyle w:val="List Paragraph"/>
        <w:numPr>
          <w:ilvl w:val="0"/>
          <w:numId w:val="31"/>
        </w:numPr>
        <w:rPr>
          <w:lang w:val="en-US"/>
        </w:rPr>
      </w:pPr>
      <w:r>
        <w:rPr>
          <w:rtl w:val="0"/>
          <w:lang w:val="en-US"/>
        </w:rPr>
        <w:t>Uniquely identifying data of the property</w:t>
      </w:r>
    </w:p>
    <w:p>
      <w:pPr>
        <w:pStyle w:val="List Paragraph"/>
        <w:numPr>
          <w:ilvl w:val="0"/>
          <w:numId w:val="31"/>
        </w:numPr>
        <w:rPr>
          <w:lang w:val="en-US"/>
        </w:rPr>
      </w:pPr>
      <w:r>
        <w:rPr>
          <w:rtl w:val="0"/>
          <w:lang w:val="en-US"/>
        </w:rPr>
        <w:t>Identity of owner(s)</w:t>
      </w:r>
    </w:p>
    <w:p>
      <w:pPr>
        <w:pStyle w:val="List Paragraph"/>
        <w:numPr>
          <w:ilvl w:val="0"/>
          <w:numId w:val="31"/>
        </w:numPr>
        <w:rPr>
          <w:lang w:val="en-US"/>
        </w:rPr>
      </w:pPr>
      <w:r>
        <w:rPr>
          <w:rtl w:val="0"/>
          <w:lang w:val="en-US"/>
        </w:rPr>
        <w:t>Chain of ownership</w:t>
      </w:r>
    </w:p>
    <w:p>
      <w:pPr>
        <w:pStyle w:val="List Paragraph"/>
        <w:numPr>
          <w:ilvl w:val="0"/>
          <w:numId w:val="31"/>
        </w:numPr>
        <w:rPr>
          <w:lang w:val="en-US"/>
        </w:rPr>
      </w:pPr>
      <w:r>
        <w:rPr>
          <w:rtl w:val="0"/>
          <w:lang w:val="en-US"/>
        </w:rPr>
        <w:t>Restrictions on the property</w:t>
      </w:r>
    </w:p>
    <w:p>
      <w:pPr>
        <w:pStyle w:val="Body"/>
        <w:ind w:left="720" w:firstLine="0"/>
      </w:pPr>
      <w:r>
        <w:rPr>
          <w:rtl w:val="0"/>
          <w:lang w:val="en-US"/>
        </w:rPr>
        <w:t>The solutions shall:</w:t>
      </w:r>
    </w:p>
    <w:p>
      <w:pPr>
        <w:pStyle w:val="List Paragraph"/>
        <w:numPr>
          <w:ilvl w:val="0"/>
          <w:numId w:val="33"/>
        </w:numPr>
        <w:rPr>
          <w:lang w:val="en-US"/>
        </w:rPr>
      </w:pPr>
      <w:r>
        <w:rPr>
          <w:rtl w:val="0"/>
          <w:lang w:val="en-US"/>
        </w:rPr>
        <w:t>Export the above data elements based on defined roles and permissions.</w:t>
      </w:r>
    </w:p>
    <w:p>
      <w:pPr>
        <w:pStyle w:val="List Paragraph"/>
        <w:numPr>
          <w:ilvl w:val="0"/>
          <w:numId w:val="33"/>
        </w:numPr>
        <w:rPr>
          <w:lang w:val="en-US"/>
        </w:rPr>
      </w:pPr>
      <w:r>
        <w:rPr>
          <w:rtl w:val="0"/>
          <w:lang w:val="en-US"/>
        </w:rPr>
        <w:t>Identify the date/time stamp for all data recorded on the solution.</w:t>
      </w:r>
    </w:p>
    <w:p>
      <w:pPr>
        <w:pStyle w:val="List Paragraph"/>
        <w:numPr>
          <w:ilvl w:val="0"/>
          <w:numId w:val="33"/>
        </w:numPr>
        <w:rPr>
          <w:lang w:val="en-US"/>
        </w:rPr>
      </w:pPr>
      <w:r>
        <w:rPr>
          <w:rtl w:val="0"/>
          <w:lang w:val="en-US"/>
        </w:rPr>
        <w:t>Validate title records in accordance with the legal jurisdiction of the property.</w:t>
      </w:r>
    </w:p>
    <w:p>
      <w:pPr>
        <w:pStyle w:val="List Paragraph"/>
        <w:numPr>
          <w:ilvl w:val="0"/>
          <w:numId w:val="33"/>
        </w:numPr>
        <w:rPr>
          <w:lang w:val="en-US"/>
        </w:rPr>
      </w:pPr>
      <w:r>
        <w:rPr>
          <w:rtl w:val="0"/>
          <w:lang w:val="en-US"/>
        </w:rPr>
        <w:t>Notify property stakeholders when any change is made to a property record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rPr>
        <w:t>1.</w:t>
      </w:r>
      <w:r>
        <w:rPr>
          <w:rStyle w:val="Strong"/>
          <w:rtl w:val="0"/>
        </w:rPr>
        <w:t xml:space="preserve"> </w:t>
      </w:r>
      <w:r>
        <w:rPr>
          <w:rFonts w:ascii="Times New Roman" w:hAnsi="Times New Roman"/>
          <w:sz w:val="24"/>
          <w:szCs w:val="24"/>
          <w:rtl w:val="0"/>
          <w:lang w:val="en-US"/>
        </w:rPr>
        <w:t>Property data can include a court ordered transfe</w:t>
      </w:r>
      <w:r>
        <w:rPr>
          <w:rFonts w:ascii="Times New Roman" w:hAnsi="Times New Roman"/>
          <w:spacing w:val="-10"/>
          <w:sz w:val="24"/>
          <w:szCs w:val="24"/>
          <w:rtl w:val="0"/>
        </w:rPr>
        <w:t>r</w:t>
      </w:r>
      <w:r>
        <w:rPr>
          <w:rFonts w:ascii="Times New Roman" w:hAnsi="Times New Roman"/>
          <w:sz w:val="24"/>
          <w:szCs w:val="24"/>
          <w:rtl w:val="0"/>
          <w:lang w:val="en-US"/>
        </w:rPr>
        <w:t>, purchase or sale, gifted or next of kin, or anything that would result in the change of ownership.</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pPr>
      <w:r>
        <w:rPr>
          <w:rtl w:val="0"/>
          <w:lang w:val="en-US"/>
        </w:rPr>
        <w:t>2. Property stakeholders may include the buyer, seller, insurer, bank, and governing authorities.</w:t>
      </w:r>
    </w:p>
    <w:p>
      <w:pPr>
        <w:pStyle w:val="Heading 2"/>
        <w:numPr>
          <w:ilvl w:val="1"/>
          <w:numId w:val="34"/>
        </w:numPr>
      </w:pPr>
      <w:bookmarkStart w:name="_Toc6" w:id="6"/>
      <w:r>
        <w:rPr>
          <w:rFonts w:cs="Arial Unicode MS" w:eastAsia="Arial Unicode MS"/>
          <w:rtl w:val="0"/>
          <w:lang w:val="en-US"/>
        </w:rPr>
        <w:t>Fractional Ownership</w:t>
      </w:r>
      <w:bookmarkEnd w:id="6"/>
    </w:p>
    <w:p>
      <w:pPr>
        <w:pStyle w:val="Body"/>
        <w:ind w:left="576" w:firstLine="0"/>
      </w:pPr>
      <w:r>
        <w:rPr>
          <w:rtl w:val="0"/>
          <w:lang w:val="en-US"/>
        </w:rPr>
        <w:t>Fractional ownership applies to condos, co-ops, timeshare, and equities.</w:t>
      </w:r>
    </w:p>
    <w:p>
      <w:pPr>
        <w:pStyle w:val="Heading 3"/>
        <w:numPr>
          <w:ilvl w:val="2"/>
          <w:numId w:val="25"/>
        </w:numPr>
      </w:pPr>
      <w:bookmarkStart w:name="_Toc7" w:id="7"/>
      <w:r>
        <w:rPr>
          <w:rFonts w:cs="Arial Unicode MS" w:eastAsia="Arial Unicode MS"/>
          <w:rtl w:val="0"/>
          <w:lang w:val="en-US"/>
        </w:rPr>
        <w:t>Fractional Rights</w:t>
      </w:r>
      <w:bookmarkEnd w:id="7"/>
    </w:p>
    <w:p>
      <w:pPr>
        <w:pStyle w:val="Body"/>
        <w:ind w:left="720" w:firstLine="0"/>
      </w:pPr>
      <w:r>
        <w:rPr>
          <w:rtl w:val="0"/>
          <w:lang w:val="en-US"/>
        </w:rPr>
        <w:t xml:space="preserve">The solution shall define the rights being fractionalized that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 xml:space="preserve">meet regulatory requirements in the jurisdiction of the real property location.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81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lang w:val="en-US"/>
        </w:rPr>
        <w:t xml:space="preserve">Examples include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equity, specific rights of use etc. Also proving authority to exercise fractionalized ownership within the rights afforded to the fractional owner.</w:t>
      </w:r>
    </w:p>
    <w:p>
      <w:pPr>
        <w:pStyle w:val="Heading 3"/>
        <w:numPr>
          <w:ilvl w:val="2"/>
          <w:numId w:val="25"/>
        </w:numPr>
      </w:pPr>
      <w:bookmarkStart w:name="_Toc8" w:id="8"/>
      <w:r>
        <w:rPr>
          <w:rFonts w:cs="Arial Unicode MS" w:eastAsia="Arial Unicode MS"/>
          <w:rtl w:val="0"/>
          <w:lang w:val="en-US"/>
        </w:rPr>
        <w:t>Fractional Revocation</w:t>
      </w:r>
      <w:bookmarkEnd w:id="8"/>
    </w:p>
    <w:p>
      <w:pPr>
        <w:pStyle w:val="Body"/>
        <w:ind w:left="720" w:firstLine="0"/>
      </w:pPr>
      <w:r>
        <w:rPr>
          <w:rtl w:val="0"/>
          <w:lang w:val="en-US"/>
        </w:rPr>
        <w:t>The solution shall address the revocation of fractional rights by legal authority based on established rules.</w:t>
      </w:r>
    </w:p>
    <w:p>
      <w:pPr>
        <w:pStyle w:val="Heading 2"/>
        <w:numPr>
          <w:ilvl w:val="1"/>
          <w:numId w:val="25"/>
        </w:numPr>
      </w:pPr>
      <w:bookmarkStart w:name="_Toc9" w:id="9"/>
      <w:r>
        <w:rPr>
          <w:rFonts w:cs="Arial Unicode MS" w:eastAsia="Arial Unicode MS"/>
          <w:rtl w:val="0"/>
          <w:lang w:val="en-US"/>
        </w:rPr>
        <w:t>Land Property Transfer</w:t>
      </w:r>
      <w:bookmarkEnd w:id="9"/>
    </w:p>
    <w:p>
      <w:pPr>
        <w:pStyle w:val="Body"/>
        <w:ind w:left="576" w:firstLine="0"/>
      </w:pPr>
      <w:r>
        <w:rPr>
          <w:rtl w:val="0"/>
          <w:lang w:val="en-US"/>
        </w:rPr>
        <w:t>Land Property Transfer is the process of changing the ownership record of a parcel of land between two entities.</w:t>
      </w:r>
    </w:p>
    <w:p>
      <w:pPr>
        <w:pStyle w:val="Body"/>
        <w:ind w:left="576" w:firstLine="0"/>
      </w:pPr>
      <w:r>
        <w:rPr>
          <w:rtl w:val="0"/>
          <w:lang w:val="en-US"/>
        </w:rPr>
        <w:t>The solution shall:</w:t>
      </w:r>
    </w:p>
    <w:p>
      <w:pPr>
        <w:pStyle w:val="List Paragraph"/>
        <w:numPr>
          <w:ilvl w:val="0"/>
          <w:numId w:val="36"/>
        </w:numPr>
        <w:rPr>
          <w:lang w:val="en-US"/>
        </w:rPr>
      </w:pPr>
      <w:r>
        <w:rPr>
          <w:rtl w:val="0"/>
          <w:lang w:val="en-US"/>
        </w:rPr>
        <w:t>Import and record spatial information.</w:t>
      </w:r>
    </w:p>
    <w:p>
      <w:pPr>
        <w:pStyle w:val="List Paragraph"/>
        <w:numPr>
          <w:ilvl w:val="0"/>
          <w:numId w:val="36"/>
        </w:numPr>
        <w:rPr>
          <w:lang w:val="en-US"/>
        </w:rPr>
      </w:pPr>
      <w:r>
        <w:rPr>
          <w:rtl w:val="0"/>
          <w:lang w:val="en-US"/>
        </w:rPr>
        <w:t>Prohibit the transfer of property without the consent of the property stakeholders or the lawful order from the legal authority with jurisdiction over the property.</w:t>
      </w:r>
    </w:p>
    <w:p>
      <w:pPr>
        <w:pStyle w:val="List Paragraph"/>
        <w:numPr>
          <w:ilvl w:val="0"/>
          <w:numId w:val="36"/>
        </w:numPr>
        <w:rPr>
          <w:lang w:val="en-US"/>
        </w:rPr>
      </w:pPr>
      <w:r>
        <w:rPr>
          <w:rtl w:val="0"/>
          <w:lang w:val="en-US"/>
        </w:rPr>
        <w:t>Describe the specific rights associated with the property.</w:t>
      </w:r>
    </w:p>
    <w:p>
      <w:pPr>
        <w:pStyle w:val="List Paragraph"/>
        <w:numPr>
          <w:ilvl w:val="0"/>
          <w:numId w:val="36"/>
        </w:numPr>
        <w:rPr>
          <w:lang w:val="en-US"/>
        </w:rPr>
      </w:pPr>
      <w:r>
        <w:rPr>
          <w:rtl w:val="0"/>
          <w:lang w:val="en-US"/>
        </w:rPr>
        <w:t>Update the chain of custody records.</w:t>
      </w:r>
    </w:p>
    <w:p>
      <w:pPr>
        <w:pStyle w:val="List Paragraph"/>
        <w:numPr>
          <w:ilvl w:val="0"/>
          <w:numId w:val="36"/>
        </w:numPr>
        <w:rPr>
          <w:lang w:val="en-US"/>
        </w:rPr>
      </w:pPr>
      <w:r>
        <w:rPr>
          <w:rtl w:val="0"/>
          <w:lang w:val="en-US"/>
        </w:rPr>
        <w:t>Notify property stakeholders of any change to the property ownership status.</w:t>
      </w:r>
    </w:p>
    <w:p>
      <w:pPr>
        <w:pStyle w:val="List Paragraph"/>
        <w:numPr>
          <w:ilvl w:val="0"/>
          <w:numId w:val="36"/>
        </w:numPr>
        <w:rPr>
          <w:lang w:val="en-US"/>
        </w:rPr>
      </w:pPr>
      <w:r>
        <w:rPr>
          <w:rtl w:val="0"/>
          <w:lang w:val="en-US"/>
        </w:rPr>
        <w:t>Identify and report any related encumbrances on the property.</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Heading 2"/>
        <w:numPr>
          <w:ilvl w:val="1"/>
          <w:numId w:val="37"/>
        </w:numPr>
      </w:pPr>
      <w:bookmarkStart w:name="_Toc10" w:id="10"/>
      <w:r>
        <w:rPr>
          <w:rFonts w:cs="Arial Unicode MS" w:eastAsia="Arial Unicode MS"/>
          <w:rtl w:val="0"/>
          <w:lang w:val="en-US"/>
        </w:rPr>
        <w:t>Property Chain of Custody Verification</w:t>
      </w:r>
      <w:bookmarkEnd w:id="10"/>
    </w:p>
    <w:p>
      <w:pPr>
        <w:pStyle w:val="Body"/>
        <w:ind w:left="576" w:firstLine="0"/>
      </w:pPr>
      <w:r>
        <w:rPr>
          <w:rtl w:val="0"/>
          <w:lang w:val="en-US"/>
        </w:rPr>
        <w:t>Property Chain of Custody Verification is the activity of displaying the historical ownership of a parcel of land across three or more previous owners.</w:t>
      </w:r>
    </w:p>
    <w:p>
      <w:pPr>
        <w:pStyle w:val="Body"/>
        <w:ind w:left="576" w:firstLine="0"/>
      </w:pPr>
      <w:r>
        <w:rPr>
          <w:rtl w:val="0"/>
          <w:lang w:val="en-US"/>
        </w:rPr>
        <w:t>The solution shall:</w:t>
      </w:r>
    </w:p>
    <w:p>
      <w:pPr>
        <w:pStyle w:val="List Paragraph"/>
        <w:numPr>
          <w:ilvl w:val="0"/>
          <w:numId w:val="39"/>
        </w:numPr>
        <w:rPr>
          <w:lang w:val="en-US"/>
        </w:rPr>
      </w:pPr>
      <w:r>
        <w:rPr>
          <w:rtl w:val="0"/>
          <w:lang w:val="en-US"/>
        </w:rPr>
        <w:t>Include geographic and physical attributes (coordinates, beacons, landmarks, etc.) of the property</w:t>
      </w:r>
    </w:p>
    <w:p>
      <w:pPr>
        <w:pStyle w:val="List Paragraph"/>
        <w:numPr>
          <w:ilvl w:val="0"/>
          <w:numId w:val="39"/>
        </w:numPr>
        <w:rPr>
          <w:lang w:val="en-US"/>
        </w:rPr>
      </w:pPr>
      <w:r>
        <w:rPr>
          <w:rtl w:val="0"/>
          <w:lang w:val="en-US"/>
        </w:rPr>
        <w:t>Include the legal description including the title/deed information</w:t>
      </w:r>
    </w:p>
    <w:p>
      <w:pPr>
        <w:pStyle w:val="List Paragraph"/>
        <w:numPr>
          <w:ilvl w:val="0"/>
          <w:numId w:val="41"/>
        </w:numPr>
        <w:rPr>
          <w:lang w:val="en-US"/>
        </w:rPr>
      </w:pPr>
      <w:r>
        <w:rPr>
          <w:rtl w:val="0"/>
          <w:lang w:val="en-US"/>
        </w:rPr>
        <w:t>Maintain a date/time stamped image of previous ownership records</w:t>
      </w:r>
    </w:p>
    <w:p>
      <w:pPr>
        <w:pStyle w:val="Body"/>
      </w:pPr>
    </w:p>
    <w:p>
      <w:pPr>
        <w:pStyle w:val="Body"/>
        <w:ind w:left="576" w:firstLine="0"/>
      </w:pPr>
      <w:r>
        <w:rPr>
          <w:rtl w:val="0"/>
          <w:lang w:val="en-US"/>
        </w:rPr>
        <w:t>Acquisition / Transfer documentation of past transfer event, transferring real rights to present real property right owner. To include:</w:t>
      </w:r>
    </w:p>
    <w:p>
      <w:pPr>
        <w:pStyle w:val="Body"/>
        <w:ind w:left="576" w:firstLine="0"/>
      </w:pPr>
      <w:r>
        <w:rPr>
          <w:rtl w:val="0"/>
          <w:lang w:val="en-US"/>
        </w:rPr>
        <w:t xml:space="preserve">Location of historic jurisdictional authority indexing entry, for the applicable documents, and </w:t>
      </w:r>
    </w:p>
    <w:p>
      <w:pPr>
        <w:pStyle w:val="Body"/>
        <w:ind w:left="576" w:firstLine="0"/>
      </w:pPr>
      <w:r>
        <w:rPr>
          <w:rtl w:val="0"/>
          <w:lang w:val="en-US"/>
        </w:rPr>
        <w:t>An onchain, jurisdictional authority certified, duplicate of the applicable documents for best practices immutable evidencing.</w:t>
      </w:r>
    </w:p>
    <w:p>
      <w:pPr>
        <w:pStyle w:val="Body"/>
        <w:ind w:left="576" w:firstLine="0"/>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576" w:firstLine="0"/>
      </w:pPr>
      <w:r>
        <w:rPr>
          <w:rtl w:val="0"/>
          <w:lang w:val="de-DE"/>
        </w:rPr>
        <w:t xml:space="preserve">Notes: </w:t>
      </w:r>
    </w:p>
    <w:p>
      <w:pPr>
        <w:pStyle w:val="List Paragraph"/>
        <w:numPr>
          <w:ilvl w:val="0"/>
          <w:numId w:val="43"/>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Best practices include the incorporation of Geographic Information System (GIS) data and use by assessors, appraisers, and modelers.</w:t>
      </w:r>
    </w:p>
    <w:p>
      <w:pPr>
        <w:pStyle w:val="List Paragraph"/>
        <w:numPr>
          <w:ilvl w:val="0"/>
          <w:numId w:val="43"/>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Computer Aided Mass Appraisal (CAMA) software is used to support chain of custody verification.</w:t>
      </w:r>
    </w:p>
    <w:p>
      <w:pPr>
        <w:pStyle w:val="Body"/>
        <w:ind w:left="576" w:firstLine="0"/>
      </w:pPr>
    </w:p>
    <w:p>
      <w:pPr>
        <w:pStyle w:val="Body"/>
        <w:ind w:left="576" w:firstLine="0"/>
      </w:pPr>
    </w:p>
    <w:p>
      <w:pPr>
        <w:pStyle w:val="Body"/>
        <w:ind w:left="576" w:firstLine="0"/>
      </w:pPr>
    </w:p>
    <w:p>
      <w:pPr>
        <w:pStyle w:val="Body"/>
        <w:ind w:left="576" w:firstLine="0"/>
      </w:pPr>
    </w:p>
    <w:p>
      <w:pPr>
        <w:pStyle w:val="Heading 2"/>
        <w:numPr>
          <w:ilvl w:val="1"/>
          <w:numId w:val="44"/>
        </w:numPr>
      </w:pPr>
      <w:bookmarkStart w:name="_Toc11" w:id="11"/>
      <w:r>
        <w:rPr>
          <w:rFonts w:cs="Arial Unicode MS" w:eastAsia="Arial Unicode MS"/>
          <w:rtl w:val="0"/>
          <w:lang w:val="en-US"/>
        </w:rPr>
        <w:t xml:space="preserve">Land Valuation </w:t>
      </w:r>
      <w:bookmarkEnd w:id="11"/>
    </w:p>
    <w:p>
      <w:pPr>
        <w:pStyle w:val="Body"/>
        <w:ind w:left="576" w:firstLine="0"/>
      </w:pPr>
      <w:r>
        <w:rPr>
          <w:rtl w:val="0"/>
          <w:lang w:val="en-US"/>
        </w:rPr>
        <w:t xml:space="preserve">System should be equipped to determine market based land valuation based on comparable in the identified property market, staying within a certain perimeter. Must have capability to identify minimum </w:t>
      </w:r>
      <w:r>
        <w:rPr>
          <w:b w:val="1"/>
          <w:bCs w:val="1"/>
          <w:outline w:val="0"/>
          <w:color w:val="538135"/>
          <w:u w:color="538135"/>
          <w:rtl w:val="0"/>
          <w:lang w:val="pt-PT"/>
          <w14:textFill>
            <w14:solidFill>
              <w14:srgbClr w14:val="538135"/>
            </w14:solidFill>
          </w14:textFill>
        </w:rPr>
        <w:t xml:space="preserve">legal </w:t>
      </w:r>
      <w:r>
        <w:rPr>
          <w:rtl w:val="0"/>
          <w:lang w:val="en-US"/>
        </w:rPr>
        <w:t xml:space="preserve">transaction value. This feature will enable:    </w:t>
      </w:r>
    </w:p>
    <w:p>
      <w:pPr>
        <w:pStyle w:val="Body"/>
        <w:ind w:left="576" w:firstLine="0"/>
      </w:pPr>
      <w:r>
        <w:rPr>
          <w:rtl w:val="0"/>
          <w:lang w:val="en-US"/>
        </w:rPr>
        <w:t>Collection of accurate duties and taxes</w:t>
      </w:r>
    </w:p>
    <w:p>
      <w:pPr>
        <w:pStyle w:val="Body"/>
        <w:ind w:left="576" w:firstLine="0"/>
      </w:pPr>
      <w:r>
        <w:rPr>
          <w:rtl w:val="0"/>
          <w:lang w:val="en-US"/>
        </w:rPr>
        <w:t>Market value payment by Government upon compulsory land acquisition or private equity, individual or institutional buyers.</w:t>
      </w:r>
      <w:r>
        <w:rPr>
          <w:rStyle w:val="Strong"/>
          <w:rtl w:val="0"/>
        </w:rPr>
        <w:t xml:space="preserve">  </w:t>
      </w:r>
    </w:p>
    <w:p>
      <w:pPr>
        <w:pStyle w:val="Heading 2"/>
        <w:numPr>
          <w:ilvl w:val="1"/>
          <w:numId w:val="25"/>
        </w:numPr>
      </w:pPr>
      <w:bookmarkStart w:name="_Toc12" w:id="12"/>
      <w:r>
        <w:rPr>
          <w:rFonts w:cs="Arial Unicode MS" w:eastAsia="Arial Unicode MS"/>
          <w:rtl w:val="0"/>
          <w:lang w:val="nl-NL"/>
        </w:rPr>
        <w:t>Transfer Event</w:t>
      </w:r>
      <w:bookmarkEnd w:id="12"/>
    </w:p>
    <w:p>
      <w:pPr>
        <w:pStyle w:val="Body"/>
        <w:ind w:left="576" w:firstLine="0"/>
      </w:pPr>
      <w:r>
        <w:rPr>
          <w:rtl w:val="0"/>
          <w:lang w:val="en-US"/>
        </w:rPr>
        <w:t>System should be capable to record and apply law on different type</w:t>
      </w:r>
      <w:r>
        <w:rPr>
          <w:outline w:val="0"/>
          <w:color w:val="538135"/>
          <w:u w:color="538135"/>
          <w:rtl w:val="0"/>
          <w14:textFill>
            <w14:solidFill>
              <w14:srgbClr w14:val="538135"/>
            </w14:solidFill>
          </w14:textFill>
        </w:rPr>
        <w:t>s</w:t>
      </w:r>
      <w:r>
        <w:rPr>
          <w:rtl w:val="0"/>
          <w:lang w:val="en-US"/>
        </w:rPr>
        <w:t xml:space="preserve"> of transfer/ lease/</w:t>
      </w:r>
      <w:r>
        <w:rPr>
          <w:b w:val="1"/>
          <w:bCs w:val="1"/>
          <w:outline w:val="0"/>
          <w:color w:val="538135"/>
          <w:u w:color="538135"/>
          <w:rtl w:val="0"/>
          <w:lang w:val="en-US"/>
          <w14:textFill>
            <w14:solidFill>
              <w14:srgbClr w14:val="538135"/>
            </w14:solidFill>
          </w14:textFill>
        </w:rPr>
        <w:t>or other transfer of real property rights event.</w:t>
      </w:r>
      <w:r>
        <w:rPr>
          <w:outline w:val="0"/>
          <w:color w:val="538135"/>
          <w:u w:color="538135"/>
          <w:rtl w:val="0"/>
          <w14:textFill>
            <w14:solidFill>
              <w14:srgbClr w14:val="538135"/>
            </w14:solidFill>
          </w14:textFill>
        </w:rPr>
        <w:t xml:space="preserve"> </w:t>
      </w:r>
      <w:r>
        <w:rPr>
          <w:rtl w:val="0"/>
          <w:lang w:val="en-US"/>
        </w:rPr>
        <w:t>e.g. sale, gift, inheritance, court orders, government acquisition.</w:t>
      </w:r>
      <w:r>
        <w:rPr>
          <w:rStyle w:val="Strong"/>
          <w:rtl w:val="0"/>
        </w:rPr>
        <w:t xml:space="preserve"> </w:t>
      </w:r>
    </w:p>
    <w:p>
      <w:pPr>
        <w:pStyle w:val="Heading 2"/>
        <w:numPr>
          <w:ilvl w:val="1"/>
          <w:numId w:val="25"/>
        </w:numPr>
      </w:pPr>
      <w:bookmarkStart w:name="_Toc13" w:id="13"/>
      <w:r>
        <w:rPr>
          <w:rFonts w:cs="Arial Unicode MS" w:eastAsia="Arial Unicode MS"/>
          <w:rtl w:val="0"/>
          <w:lang w:val="en-US"/>
        </w:rPr>
        <w:t xml:space="preserve">Transfer Process </w:t>
      </w:r>
      <w:bookmarkEnd w:id="13"/>
    </w:p>
    <w:p>
      <w:pPr>
        <w:pStyle w:val="Body"/>
        <w:ind w:left="576" w:firstLine="0"/>
        <w:rPr>
          <w:rFonts w:ascii="Arial" w:cs="Arial" w:hAnsi="Arial" w:eastAsia="Arial"/>
          <w:outline w:val="0"/>
          <w:color w:val="222222"/>
          <w:sz w:val="26"/>
          <w:szCs w:val="26"/>
          <w:u w:color="222222"/>
          <w14:textFill>
            <w14:solidFill>
              <w14:srgbClr w14:val="222222"/>
            </w14:solidFill>
          </w14:textFill>
        </w:rPr>
      </w:pPr>
      <w:r>
        <w:rPr>
          <w:rtl w:val="0"/>
          <w:lang w:val="en-US"/>
        </w:rPr>
        <w:t>International standard transfer process with multiple checks and validation by the department concerned officer. Multiple checks must be applied including but not limited to physical presence of seller/legal attorney, bio-metric of the seller, photo of seller by system, ownership proof and details of unit sold (e.g. type, size,</w:t>
      </w:r>
      <w:r>
        <w:rPr>
          <w:b w:val="1"/>
          <w:bCs w:val="1"/>
          <w:outline w:val="0"/>
          <w:color w:val="538135"/>
          <w:u w:color="538135"/>
          <w:rtl w:val="0"/>
          <w:lang w:val="en-US"/>
          <w14:textFill>
            <w14:solidFill>
              <w14:srgbClr w14:val="538135"/>
            </w14:solidFill>
          </w14:textFill>
        </w:rPr>
        <w:t xml:space="preserve"> description), and the consideration given for said transfer.</w:t>
      </w:r>
    </w:p>
    <w:p>
      <w:pPr>
        <w:pStyle w:val="Body"/>
        <w:widowControl w:val="0"/>
        <w:spacing w:before="7" w:after="0" w:line="150" w:lineRule="exact"/>
        <w:rPr>
          <w:rFonts w:ascii="Times New Roman" w:cs="Times New Roman" w:hAnsi="Times New Roman" w:eastAsia="Times New Roman"/>
          <w:sz w:val="15"/>
          <w:szCs w:val="15"/>
        </w:rPr>
      </w:pP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14" w:id="14"/>
      <w:r>
        <w:rPr>
          <w:rtl w:val="0"/>
          <w:lang w:val="en-US"/>
        </w:rPr>
        <w:t>Real Estate</w:t>
      </w:r>
      <w:r>
        <w:rPr>
          <w:spacing w:val="0"/>
          <w:rtl w:val="0"/>
        </w:rPr>
        <w:t xml:space="preserve"> </w:t>
      </w:r>
      <w:r>
        <w:rPr>
          <w:rtl w:val="0"/>
          <w:lang w:val="it-IT"/>
        </w:rPr>
        <w:t>Asset</w:t>
      </w:r>
      <w:r>
        <w:rPr>
          <w:spacing w:val="0"/>
          <w:rtl w:val="0"/>
        </w:rPr>
        <w:t xml:space="preserve"> </w:t>
      </w:r>
      <w:r>
        <w:rPr>
          <w:spacing w:val="0"/>
          <w:rtl w:val="0"/>
        </w:rPr>
        <w:t>T</w:t>
      </w:r>
      <w:r>
        <w:rPr>
          <w:rtl w:val="0"/>
        </w:rPr>
        <w:t>ype</w:t>
      </w:r>
      <w:bookmarkEnd w:id="14"/>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0"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capability to identify and record di</w:t>
      </w:r>
      <w:r>
        <w:rPr>
          <w:rFonts w:ascii="Times New Roman" w:hAnsi="Times New Roman"/>
          <w:spacing w:val="-4"/>
          <w:sz w:val="24"/>
          <w:szCs w:val="24"/>
          <w:rtl w:val="0"/>
        </w:rPr>
        <w:t>f</w:t>
      </w:r>
      <w:r>
        <w:rPr>
          <w:rFonts w:ascii="Times New Roman" w:hAnsi="Times New Roman"/>
          <w:sz w:val="24"/>
          <w:szCs w:val="24"/>
          <w:rtl w:val="0"/>
          <w:lang w:val="en-US"/>
        </w:rPr>
        <w:t>ferent type of real estate asset as well as zoning, including but not limited to</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7292" w:firstLine="0"/>
        <w:rPr>
          <w:rFonts w:ascii="Times New Roman" w:cs="Times New Roman" w:hAnsi="Times New Roman" w:eastAsia="Times New Roman"/>
          <w:sz w:val="24"/>
          <w:szCs w:val="24"/>
        </w:rPr>
      </w:pPr>
      <w:r>
        <w:rPr>
          <w:rFonts w:ascii="Times New Roman" w:hAnsi="Times New Roman"/>
          <w:sz w:val="24"/>
          <w:szCs w:val="24"/>
          <w:rtl w:val="0"/>
          <w:lang w:val="de-DE"/>
        </w:rPr>
        <w:t>a)</w:t>
        <w:tab/>
        <w:t xml:space="preserve">House b)  </w:t>
      </w:r>
      <w:r>
        <w:rPr>
          <w:rFonts w:ascii="Times New Roman" w:hAnsi="Times New Roman"/>
          <w:spacing w:val="13"/>
          <w:sz w:val="24"/>
          <w:szCs w:val="24"/>
          <w:rtl w:val="0"/>
        </w:rPr>
        <w:t xml:space="preserve"> </w:t>
      </w:r>
      <w:r>
        <w:rPr>
          <w:rFonts w:ascii="Times New Roman" w:hAnsi="Times New Roman"/>
          <w:spacing w:val="-14"/>
          <w:sz w:val="24"/>
          <w:szCs w:val="24"/>
          <w:rtl w:val="0"/>
        </w:rPr>
        <w:t>V</w:t>
      </w:r>
      <w:r>
        <w:rPr>
          <w:rFonts w:ascii="Times New Roman" w:hAnsi="Times New Roman"/>
          <w:sz w:val="24"/>
          <w:szCs w:val="24"/>
          <w:rtl w:val="0"/>
        </w:rPr>
        <w:t>illa</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rPr>
        <w:t>c)</w:t>
        <w:tab/>
        <w:t>Flat</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34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Commercial Property (Industrial, GSA, Retail, Multi-Famil</w:t>
      </w:r>
      <w:r>
        <w:rPr>
          <w:rFonts w:ascii="Times New Roman" w:hAnsi="Times New Roman"/>
          <w:spacing w:val="-16"/>
          <w:sz w:val="24"/>
          <w:szCs w:val="24"/>
          <w:rtl w:val="0"/>
        </w:rPr>
        <w:t>y</w:t>
      </w:r>
      <w:r>
        <w:rPr>
          <w:rFonts w:ascii="Times New Roman" w:hAnsi="Times New Roman"/>
          <w:sz w:val="24"/>
          <w:szCs w:val="24"/>
          <w:rtl w:val="0"/>
          <w:lang w:val="en-US"/>
        </w:rPr>
        <w:t>, Land - all types developed or undeveloped,  O</w:t>
      </w:r>
      <w:r>
        <w:rPr>
          <w:rFonts w:ascii="Times New Roman" w:hAnsi="Times New Roman"/>
          <w:spacing w:val="-4"/>
          <w:sz w:val="24"/>
          <w:szCs w:val="24"/>
          <w:rtl w:val="0"/>
        </w:rPr>
        <w:t>f</w:t>
      </w:r>
      <w:r>
        <w:rPr>
          <w:rFonts w:ascii="Times New Roman" w:hAnsi="Times New Roman"/>
          <w:sz w:val="24"/>
          <w:szCs w:val="24"/>
          <w:rtl w:val="0"/>
          <w:lang w:val="en-US"/>
        </w:rPr>
        <w:t>fice Buildings, Hotels and Hospitalit</w:t>
      </w:r>
      <w:r>
        <w:rPr>
          <w:rFonts w:ascii="Times New Roman" w:hAnsi="Times New Roman"/>
          <w:spacing w:val="-16"/>
          <w:sz w:val="24"/>
          <w:szCs w:val="24"/>
          <w:rtl w:val="0"/>
        </w:rPr>
        <w:t>y</w:t>
      </w:r>
      <w:r>
        <w:rPr>
          <w:rFonts w:ascii="Times New Roman" w:hAnsi="Times New Roman"/>
          <w:sz w:val="24"/>
          <w:szCs w:val="24"/>
          <w:rtl w:val="0"/>
          <w:lang w:val="en-US"/>
        </w:rPr>
        <w:t>, Special purpose (churches or educational buildings or recreational facilities and Mixed Use)</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15" w:id="15"/>
      <w:r>
        <w:rPr>
          <w:spacing w:val="0"/>
          <w:rtl w:val="0"/>
        </w:rPr>
        <w:t>T</w:t>
      </w:r>
      <w:r>
        <w:rPr>
          <w:rtl w:val="0"/>
          <w:lang w:val="en-US"/>
        </w:rPr>
        <w:t>itle &amp; Occupancy Information (Seller/Buyer</w:t>
      </w:r>
      <w:r>
        <w:rPr>
          <w:spacing w:val="0"/>
          <w:rtl w:val="0"/>
        </w:rPr>
        <w:t xml:space="preserve"> </w:t>
      </w:r>
      <w:r>
        <w:rPr>
          <w:rtl w:val="0"/>
        </w:rPr>
        <w:t>or</w:t>
      </w:r>
      <w:r>
        <w:rPr>
          <w:spacing w:val="0"/>
          <w:rtl w:val="0"/>
        </w:rPr>
        <w:t xml:space="preserve"> </w:t>
      </w:r>
      <w:r>
        <w:rPr>
          <w:rtl w:val="0"/>
        </w:rPr>
        <w:t>Cur</w:t>
      </w:r>
      <w:r>
        <w:rPr>
          <w:spacing w:val="0"/>
          <w:rtl w:val="0"/>
        </w:rPr>
        <w:t>r</w:t>
      </w:r>
      <w:r>
        <w:rPr>
          <w:rtl w:val="0"/>
          <w:lang w:val="en-US"/>
        </w:rPr>
        <w:t>ent Owner)</w:t>
      </w:r>
      <w:bookmarkEnd w:id="15"/>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969" w:right="228" w:hanging="393"/>
        <w:rPr>
          <w:rFonts w:ascii="Times New Roman" w:cs="Times New Roman" w:hAnsi="Times New Roman" w:eastAsia="Times New Roman"/>
          <w:sz w:val="24"/>
          <w:szCs w:val="24"/>
        </w:rPr>
      </w:pPr>
      <w:r>
        <w:rPr>
          <w:rFonts w:ascii="Times New Roman" w:hAnsi="Times New Roman"/>
          <w:sz w:val="24"/>
          <w:szCs w:val="24"/>
          <w:rtl w:val="0"/>
          <w:lang w:val="en-US"/>
        </w:rPr>
        <w:t>1.</w:t>
        <w:tab/>
        <w:t>Capable of recording the details of the chain of ownership, instrument used to show ownership (Whether General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or a Special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was used)</w:t>
      </w:r>
    </w:p>
    <w:p>
      <w:pPr>
        <w:pStyle w:val="Body"/>
        <w:widowControl w:val="0"/>
        <w:spacing w:before="1" w:after="0" w:line="160" w:lineRule="exact"/>
        <w:ind w:left="116" w:firstLine="0"/>
        <w:rPr>
          <w:rFonts w:ascii="Times New Roman" w:cs="Times New Roman" w:hAnsi="Times New Roman" w:eastAsia="Times New Roman"/>
          <w:sz w:val="16"/>
          <w:szCs w:val="16"/>
        </w:rPr>
      </w:pP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hAnsi="Times New Roman"/>
          <w:sz w:val="24"/>
          <w:szCs w:val="24"/>
          <w:rtl w:val="0"/>
          <w:lang w:val="en-US"/>
        </w:rPr>
        <w:t>2.</w:t>
        <w:tab/>
        <w:tab/>
        <w:t xml:space="preserve">Capable of recording type of ownership </w:t>
      </w: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w:t>
        <w:tab/>
        <w:t>Life estate</w:t>
      </w:r>
    </w:p>
    <w:p>
      <w:pPr>
        <w:pStyle w:val="Body"/>
        <w:widowControl w:val="0"/>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Leasehold agreement</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c)</w:t>
      </w:r>
      <w:r>
        <w:tab/>
      </w:r>
      <w:r>
        <w:rPr>
          <w:rFonts w:ascii="Times New Roman" w:hAnsi="Times New Roman"/>
          <w:sz w:val="24"/>
          <w:szCs w:val="24"/>
          <w:rtl w:val="0"/>
          <w:lang w:val="en-US"/>
        </w:rPr>
        <w:t xml:space="preserve">  Cooperative Ownership</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Condominium Ownership </w:t>
      </w: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en-US"/>
        </w:rPr>
        <w:t>e)</w:t>
        <w:tab/>
        <w:t>Joint</w:t>
      </w:r>
      <w:r>
        <w:rPr>
          <w:rFonts w:ascii="Times New Roman" w:hAnsi="Times New Roman"/>
          <w:spacing w:val="-4"/>
          <w:sz w:val="24"/>
          <w:szCs w:val="24"/>
          <w:rtl w:val="0"/>
        </w:rPr>
        <w:t xml:space="preserve"> </w:t>
      </w:r>
      <w:r>
        <w:rPr>
          <w:rFonts w:ascii="Times New Roman" w:hAnsi="Times New Roman"/>
          <w:spacing w:val="-17"/>
          <w:sz w:val="24"/>
          <w:szCs w:val="24"/>
          <w:rtl w:val="0"/>
        </w:rPr>
        <w:t>T</w:t>
      </w:r>
      <w:r>
        <w:rPr>
          <w:rFonts w:ascii="Times New Roman" w:hAnsi="Times New Roman"/>
          <w:sz w:val="24"/>
          <w:szCs w:val="24"/>
          <w:rtl w:val="0"/>
          <w:lang w:val="en-US"/>
        </w:rPr>
        <w:t>enancy</w:t>
      </w:r>
    </w:p>
    <w:p>
      <w:pPr>
        <w:pStyle w:val="Body"/>
        <w:widowControl w:val="0"/>
        <w:tabs>
          <w:tab w:val="left" w:pos="1200"/>
        </w:tabs>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f)</w:t>
        <w:tab/>
      </w:r>
      <w:r>
        <w:rPr>
          <w:rFonts w:ascii="Times New Roman" w:hAnsi="Times New Roman"/>
          <w:spacing w:val="-17"/>
          <w:sz w:val="24"/>
          <w:szCs w:val="24"/>
          <w:rtl w:val="0"/>
        </w:rPr>
        <w:t>T</w:t>
      </w:r>
      <w:r>
        <w:rPr>
          <w:rFonts w:ascii="Times New Roman" w:hAnsi="Times New Roman"/>
          <w:sz w:val="24"/>
          <w:szCs w:val="24"/>
          <w:rtl w:val="0"/>
          <w:lang w:val="en-US"/>
        </w:rPr>
        <w:t>enancy In Common</w:t>
      </w:r>
    </w:p>
    <w:p>
      <w:pPr>
        <w:pStyle w:val="Body"/>
        <w:widowControl w:val="0"/>
        <w:spacing w:before="74"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rust Ownership</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400" w:lineRule="auto"/>
        <w:ind w:left="820" w:right="588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Community property </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5"/>
        </w:numPr>
        <w:bidi w:val="0"/>
        <w:ind w:right="0"/>
        <w:jc w:val="left"/>
        <w:rPr>
          <w:rtl w:val="0"/>
        </w:rPr>
      </w:pPr>
      <w:bookmarkStart w:name="_Toc16" w:id="16"/>
      <w:r>
        <w:rPr>
          <w:rtl w:val="0"/>
          <w:lang w:val="en-US"/>
        </w:rPr>
        <w:t>Due Diligence Documents</w:t>
      </w:r>
      <w:bookmarkEnd w:id="16"/>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54" w:hanging="393"/>
        <w:rPr>
          <w:rFonts w:ascii="Times New Roman" w:cs="Times New Roman" w:hAnsi="Times New Roman" w:eastAsia="Times New Roman"/>
          <w:sz w:val="24"/>
          <w:szCs w:val="24"/>
        </w:rPr>
      </w:pPr>
      <w:r>
        <w:rPr>
          <w:rFonts w:ascii="Times New Roman" w:hAnsi="Times New Roman"/>
          <w:sz w:val="24"/>
          <w:szCs w:val="24"/>
          <w:rtl w:val="0"/>
          <w:lang w:val="en-US"/>
        </w:rPr>
        <w:t>1.</w:t>
        <w:tab/>
        <w:t>All existing paper record must be maintained in the form of high-resolution images to ensure readability and clarit</w:t>
      </w:r>
      <w:r>
        <w:rPr>
          <w:rFonts w:ascii="Times New Roman" w:hAnsi="Times New Roman"/>
          <w:spacing w:val="-16"/>
          <w:sz w:val="24"/>
          <w:szCs w:val="24"/>
          <w:rtl w:val="0"/>
        </w:rPr>
        <w:t>y</w:t>
      </w:r>
      <w:r>
        <w:rPr>
          <w:rFonts w:ascii="Times New Roman" w:hAnsi="Times New Roman"/>
          <w:sz w:val="24"/>
          <w:szCs w:val="24"/>
          <w:rtl w:val="0"/>
          <w:lang w:val="en-US"/>
        </w:rPr>
        <w:t>, for accurate store in appropriate digital system within the blockchain.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6530" w:firstLine="0"/>
        <w:rPr>
          <w:rFonts w:ascii="Times New Roman" w:cs="Times New Roman" w:hAnsi="Times New Roman" w:eastAsia="Times New Roman"/>
          <w:sz w:val="24"/>
          <w:szCs w:val="24"/>
        </w:rPr>
      </w:pPr>
      <w:r>
        <w:rPr>
          <w:rFonts w:ascii="Times New Roman" w:hAnsi="Times New Roman"/>
          <w:sz w:val="24"/>
          <w:szCs w:val="24"/>
          <w:rtl w:val="0"/>
        </w:rPr>
        <w:t>a)</w:t>
        <w:tab/>
      </w:r>
      <w:r>
        <w:rPr>
          <w:rFonts w:ascii="Times New Roman" w:hAnsi="Times New Roman"/>
          <w:spacing w:val="-17"/>
          <w:sz w:val="24"/>
          <w:szCs w:val="24"/>
          <w:rtl w:val="0"/>
        </w:rPr>
        <w:t>T</w:t>
      </w:r>
      <w:r>
        <w:rPr>
          <w:rFonts w:ascii="Times New Roman" w:hAnsi="Times New Roman"/>
          <w:sz w:val="24"/>
          <w:szCs w:val="24"/>
          <w:rtl w:val="0"/>
          <w:lang w:val="it-IT"/>
        </w:rPr>
        <w:t xml:space="preserve">ax certificate b)  </w:t>
      </w:r>
      <w:r>
        <w:rPr>
          <w:rFonts w:ascii="Times New Roman" w:hAnsi="Times New Roman"/>
          <w:spacing w:val="13"/>
          <w:sz w:val="24"/>
          <w:szCs w:val="24"/>
          <w:rtl w:val="0"/>
        </w:rPr>
        <w:t xml:space="preserve"> </w:t>
      </w:r>
      <w:r>
        <w:rPr>
          <w:rFonts w:ascii="Times New Roman" w:hAnsi="Times New Roman"/>
          <w:sz w:val="24"/>
          <w:szCs w:val="24"/>
          <w:rtl w:val="0"/>
          <w:lang w:val="nl-NL"/>
        </w:rPr>
        <w:t>Deed</w:t>
      </w:r>
    </w:p>
    <w:p>
      <w:pPr>
        <w:pStyle w:val="Body"/>
        <w:widowControl w:val="0"/>
        <w:tabs>
          <w:tab w:val="left" w:pos="1200"/>
        </w:tabs>
        <w:spacing w:before="7" w:after="0" w:line="400" w:lineRule="auto"/>
        <w:ind w:left="820" w:right="6493" w:firstLine="0"/>
        <w:rPr>
          <w:rFonts w:ascii="Times New Roman" w:cs="Times New Roman" w:hAnsi="Times New Roman" w:eastAsia="Times New Roman"/>
          <w:sz w:val="24"/>
          <w:szCs w:val="24"/>
        </w:rPr>
      </w:pPr>
      <w:r>
        <w:rPr>
          <w:rFonts w:ascii="Times New Roman" w:hAnsi="Times New Roman"/>
          <w:sz w:val="24"/>
          <w:szCs w:val="24"/>
          <w:rtl w:val="0"/>
          <w:lang w:val="es-ES_tradnl"/>
        </w:rPr>
        <w:t>c)</w:t>
        <w:tab/>
        <w:t xml:space="preserve">Encumbrances d)  </w:t>
      </w:r>
      <w:r>
        <w:rPr>
          <w:rFonts w:ascii="Times New Roman" w:hAnsi="Times New Roman"/>
          <w:spacing w:val="13"/>
          <w:sz w:val="24"/>
          <w:szCs w:val="24"/>
          <w:rtl w:val="0"/>
        </w:rPr>
        <w:t xml:space="preserve"> </w:t>
      </w:r>
      <w:r>
        <w:rPr>
          <w:rFonts w:ascii="Times New Roman" w:hAnsi="Times New Roman"/>
          <w:sz w:val="24"/>
          <w:szCs w:val="24"/>
          <w:rtl w:val="0"/>
          <w:lang w:val="de-DE"/>
        </w:rPr>
        <w:t>Platt Maps</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e)</w:t>
        <w:tab/>
        <w:t>Contingencies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7" w:hanging="393"/>
        <w:rPr>
          <w:rFonts w:ascii="Times New Roman" w:cs="Times New Roman" w:hAnsi="Times New Roman" w:eastAsia="Times New Roman"/>
          <w:sz w:val="24"/>
          <w:szCs w:val="24"/>
        </w:rPr>
      </w:pPr>
      <w:r>
        <w:rPr>
          <w:rFonts w:ascii="Times New Roman" w:hAnsi="Times New Roman"/>
          <w:sz w:val="24"/>
          <w:szCs w:val="24"/>
          <w:rtl w:val="0"/>
          <w:lang w:val="en-US"/>
        </w:rPr>
        <w:t>f)</w:t>
        <w:tab/>
        <w:t>All Inspection Documentation, including but not limited to objections, resolutions, extension on dates and deadlines, receipts</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z w:val="24"/>
          <w:szCs w:val="24"/>
          <w:rtl w:val="0"/>
          <w:lang w:val="en-US"/>
        </w:rPr>
        <w:t>Any and all public notice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Any settlement, disputed or contested claims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68" w:hanging="393"/>
        <w:rPr>
          <w:rFonts w:ascii="Times New Roman" w:cs="Times New Roman" w:hAnsi="Times New Roman" w:eastAsia="Times New Roman"/>
          <w:sz w:val="24"/>
          <w:szCs w:val="24"/>
        </w:rPr>
      </w:pPr>
      <w:r>
        <w:rPr>
          <w:rFonts w:ascii="Times New Roman" w:hAnsi="Times New Roman"/>
          <w:sz w:val="24"/>
          <w:szCs w:val="24"/>
          <w:rtl w:val="0"/>
          <w:lang w:val="en-US"/>
        </w:rPr>
        <w:t>i)</w:t>
        <w:tab/>
        <w:t>Documentation of any certificates, related to the property such HOAs, development plans, platt maps, permits, easements or encroachment documentation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60" w:lineRule="auto"/>
        <w:ind w:left="1213" w:right="674" w:hanging="393"/>
        <w:rPr>
          <w:rFonts w:ascii="Times New Roman" w:cs="Times New Roman" w:hAnsi="Times New Roman" w:eastAsia="Times New Roman"/>
          <w:sz w:val="24"/>
          <w:szCs w:val="24"/>
        </w:rPr>
      </w:pPr>
      <w:r>
        <w:rPr>
          <w:rFonts w:ascii="Times New Roman" w:hAnsi="Times New Roman"/>
          <w:sz w:val="24"/>
          <w:szCs w:val="24"/>
          <w:rtl w:val="0"/>
          <w:lang w:val="en-US"/>
        </w:rPr>
        <w:t>j)</w:t>
        <w:tab/>
        <w:t>High Resolution Mapping and zoning information or change of zoning, use permits, special use permits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60" w:lineRule="auto"/>
        <w:ind w:left="1213" w:right="22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k)  </w:t>
      </w:r>
      <w:r>
        <w:rPr>
          <w:rFonts w:ascii="Times New Roman" w:hAnsi="Times New Roman"/>
          <w:spacing w:val="13"/>
          <w:sz w:val="24"/>
          <w:szCs w:val="24"/>
          <w:rtl w:val="0"/>
        </w:rPr>
        <w:t xml:space="preserve"> </w:t>
      </w:r>
      <w:r>
        <w:rPr>
          <w:rFonts w:ascii="Times New Roman" w:hAnsi="Times New Roman"/>
          <w:sz w:val="24"/>
          <w:szCs w:val="24"/>
          <w:rtl w:val="0"/>
          <w:lang w:val="en-US"/>
        </w:rPr>
        <w:t>County and state measurements in Square Feet, acres - if applicable - or Meters, depending on location.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l)</w:t>
        <w:tab/>
        <w:t>Surveys, ILCs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448" w:hanging="393"/>
        <w:rPr>
          <w:rFonts w:ascii="Times New Roman" w:cs="Times New Roman" w:hAnsi="Times New Roman" w:eastAsia="Times New Roman"/>
          <w:sz w:val="24"/>
          <w:szCs w:val="24"/>
        </w:rPr>
      </w:pPr>
      <w:r>
        <w:rPr>
          <w:rFonts w:ascii="Times New Roman" w:hAnsi="Times New Roman"/>
          <w:sz w:val="24"/>
          <w:szCs w:val="24"/>
          <w:rtl w:val="0"/>
        </w:rPr>
        <w:t xml:space="preserve">m) </w:t>
      </w:r>
      <w:r>
        <w:rPr>
          <w:rFonts w:ascii="Times New Roman" w:hAnsi="Times New Roman"/>
          <w:spacing w:val="6"/>
          <w:sz w:val="24"/>
          <w:szCs w:val="24"/>
          <w:rtl w:val="0"/>
        </w:rPr>
        <w:t xml:space="preserve"> </w:t>
      </w:r>
      <w:r>
        <w:rPr>
          <w:rFonts w:ascii="Times New Roman" w:hAnsi="Times New Roman"/>
          <w:sz w:val="24"/>
          <w:szCs w:val="24"/>
          <w:rtl w:val="0"/>
          <w:lang w:val="en-US"/>
        </w:rPr>
        <w:t>Property description and breakdown of internal layout (Bedrooms bathrooms, etc), external layout (Sheds, barns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n)  </w:t>
      </w:r>
      <w:r>
        <w:rPr>
          <w:rFonts w:ascii="Times New Roman" w:hAnsi="Times New Roman"/>
          <w:spacing w:val="13"/>
          <w:sz w:val="24"/>
          <w:szCs w:val="24"/>
          <w:rtl w:val="0"/>
        </w:rPr>
        <w:t xml:space="preserve"> </w:t>
      </w:r>
      <w:r>
        <w:rPr>
          <w:rFonts w:ascii="Times New Roman" w:hAnsi="Times New Roman"/>
          <w:sz w:val="24"/>
          <w:szCs w:val="24"/>
          <w:rtl w:val="0"/>
          <w:lang w:val="en-US"/>
        </w:rPr>
        <w:t>Any bill of sale tied to the sale of the personal property of a sale.</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5"/>
        </w:numPr>
        <w:bidi w:val="0"/>
        <w:ind w:right="0"/>
        <w:jc w:val="left"/>
        <w:rPr>
          <w:rtl w:val="0"/>
        </w:rPr>
      </w:pPr>
      <w:bookmarkStart w:name="_Toc17" w:id="17"/>
      <w:r>
        <w:rPr>
          <w:rtl w:val="0"/>
          <w:lang w:val="en-US"/>
        </w:rPr>
        <w:t>Inheritance Law</w:t>
      </w:r>
      <w:bookmarkEnd w:id="17"/>
    </w:p>
    <w:p>
      <w:pPr>
        <w:pStyle w:val="Body"/>
        <w:widowControl w:val="0"/>
        <w:tabs>
          <w:tab w:val="left" w:pos="840"/>
        </w:tabs>
        <w:spacing w:before="74" w:after="0" w:line="260" w:lineRule="auto"/>
        <w:ind w:left="853" w:right="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have a provision to incorporate the inheritance law of the country and any other applicable valid law of the land, the system should have further capacity to accommodate special court orders on account of inheritance transfe</w:t>
      </w:r>
      <w:r>
        <w:rPr>
          <w:rFonts w:ascii="Times New Roman" w:hAnsi="Times New Roman"/>
          <w:spacing w:val="-13"/>
          <w:sz w:val="24"/>
          <w:szCs w:val="24"/>
          <w:rtl w:val="0"/>
        </w:rPr>
        <w:t>r</w:t>
      </w:r>
      <w:r>
        <w:rPr>
          <w:rFonts w:ascii="Times New Roman" w:hAnsi="Times New Roman"/>
          <w:sz w:val="24"/>
          <w:szCs w:val="24"/>
          <w:rtl w:val="0"/>
        </w:rPr>
        <w:t>.</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40" w:lineRule="auto"/>
        <w:ind w:left="460" w:firstLine="0"/>
        <w:rPr>
          <w:rFonts w:ascii="Times New Roman" w:cs="Times New Roman" w:hAnsi="Times New Roman" w:eastAsia="Times New Roman"/>
          <w:sz w:val="24"/>
          <w:szCs w:val="24"/>
        </w:rPr>
      </w:pPr>
      <w:r>
        <w:rPr>
          <w:rFonts w:ascii="Times New Roman" w:hAnsi="Times New Roman"/>
          <w:sz w:val="24"/>
          <w:szCs w:val="24"/>
          <w:rtl w:val="0"/>
          <w:lang w:val="en-US"/>
        </w:rPr>
        <w:t>2.</w:t>
        <w:tab/>
        <w:t>Court Order</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 w:hanging="393"/>
        <w:rPr>
          <w:rFonts w:ascii="Times New Roman" w:cs="Times New Roman" w:hAnsi="Times New Roman" w:eastAsia="Times New Roman"/>
          <w:sz w:val="24"/>
          <w:szCs w:val="24"/>
        </w:rPr>
      </w:pPr>
      <w:r>
        <w:rPr>
          <w:rFonts w:ascii="Times New Roman" w:hAnsi="Times New Roman"/>
          <w:sz w:val="24"/>
          <w:szCs w:val="24"/>
          <w:rtl w:val="0"/>
          <w:lang w:val="en-US"/>
        </w:rPr>
        <w:t>a)</w:t>
        <w:tab/>
        <w:t>System must have provision to record the orders issued by the court of law about the real estate asset e.g. stay orde</w:t>
      </w:r>
      <w:r>
        <w:rPr>
          <w:rFonts w:ascii="Times New Roman" w:hAnsi="Times New Roman"/>
          <w:spacing w:val="-10"/>
          <w:sz w:val="24"/>
          <w:szCs w:val="24"/>
          <w:rtl w:val="0"/>
        </w:rPr>
        <w:t>r</w:t>
      </w:r>
      <w:r>
        <w:rPr>
          <w:rFonts w:ascii="Times New Roman" w:hAnsi="Times New Roman"/>
          <w:sz w:val="24"/>
          <w:szCs w:val="24"/>
          <w:rtl w:val="0"/>
          <w:lang w:val="nl-NL"/>
        </w:rPr>
        <w:t>, transfer orde</w:t>
      </w:r>
      <w:r>
        <w:rPr>
          <w:rFonts w:ascii="Times New Roman" w:hAnsi="Times New Roman"/>
          <w:spacing w:val="-10"/>
          <w:sz w:val="24"/>
          <w:szCs w:val="24"/>
          <w:rtl w:val="0"/>
        </w:rPr>
        <w:t>r</w:t>
      </w:r>
      <w:r>
        <w:rPr>
          <w:rFonts w:ascii="Times New Roman" w:hAnsi="Times New Roman"/>
          <w:sz w:val="24"/>
          <w:szCs w:val="24"/>
          <w:rtl w:val="0"/>
          <w:lang w:val="en-US"/>
        </w:rPr>
        <w:t>, ban on transfe</w:t>
      </w:r>
      <w:r>
        <w:rPr>
          <w:rFonts w:ascii="Times New Roman" w:hAnsi="Times New Roman"/>
          <w:spacing w:val="-10"/>
          <w:sz w:val="24"/>
          <w:szCs w:val="24"/>
          <w:rtl w:val="0"/>
        </w:rPr>
        <w:t>r</w:t>
      </w:r>
      <w:r>
        <w:rPr>
          <w:rFonts w:ascii="Times New Roman" w:hAnsi="Times New Roman"/>
          <w:sz w:val="24"/>
          <w:szCs w:val="24"/>
          <w:rtl w:val="0"/>
          <w:lang w:val="fr-FR"/>
        </w:rPr>
        <w:t>, acquisition order etc. etc.</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18" w:id="18"/>
      <w:r>
        <w:rPr>
          <w:rtl w:val="0"/>
        </w:rPr>
        <w:t>Legacy system</w:t>
      </w:r>
      <w:bookmarkEnd w:id="18"/>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31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able to inherit all features and functions of legacy system and new system should not limit or eliminate the feature and productivity provided by the existing system, but instead improve it</w:t>
      </w:r>
      <w:r>
        <w:rPr>
          <w:rFonts w:ascii="Times New Roman" w:hAnsi="Times New Roman" w:hint="default"/>
          <w:spacing w:val="-13"/>
          <w:sz w:val="24"/>
          <w:szCs w:val="24"/>
          <w:rtl w:val="0"/>
          <w:lang w:val="en-US"/>
        </w:rPr>
        <w:t>’</w:t>
      </w:r>
      <w:r>
        <w:rPr>
          <w:rFonts w:ascii="Times New Roman" w:hAnsi="Times New Roman"/>
          <w:sz w:val="24"/>
          <w:szCs w:val="24"/>
          <w:rtl w:val="0"/>
          <w:lang w:val="en-US"/>
        </w:rPr>
        <w:t>s capabilities.</w:t>
      </w:r>
    </w:p>
    <w:p>
      <w:pPr>
        <w:pStyle w:val="Heading 2"/>
        <w:numPr>
          <w:ilvl w:val="1"/>
          <w:numId w:val="25"/>
        </w:numPr>
        <w:bidi w:val="0"/>
        <w:ind w:right="0"/>
        <w:jc w:val="left"/>
        <w:rPr>
          <w:rtl w:val="0"/>
        </w:rPr>
      </w:pPr>
      <w:bookmarkStart w:name="_Toc19" w:id="19"/>
      <w:r>
        <w:rPr>
          <w:rtl w:val="0"/>
          <w:lang w:val="en-US"/>
        </w:rPr>
        <w:t>Speed of</w:t>
      </w:r>
      <w:r>
        <w:rPr>
          <w:spacing w:val="0"/>
          <w:rtl w:val="0"/>
        </w:rPr>
        <w:t xml:space="preserve"> T</w:t>
      </w:r>
      <w:r>
        <w:rPr>
          <w:rtl w:val="0"/>
          <w:lang w:val="de-DE"/>
        </w:rPr>
        <w:t>itle Record System</w:t>
      </w:r>
      <w:bookmarkEnd w:id="19"/>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8"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capable to process X% (e.g. 10-20% of total record) of transaction in the real time and simultaneousl</w:t>
      </w:r>
      <w:r>
        <w:rPr>
          <w:rFonts w:ascii="Times New Roman" w:hAnsi="Times New Roman"/>
          <w:spacing w:val="-16"/>
          <w:sz w:val="24"/>
          <w:szCs w:val="24"/>
          <w:rtl w:val="0"/>
        </w:rPr>
        <w:t>y</w:t>
      </w:r>
      <w:r>
        <w:rPr>
          <w:rFonts w:ascii="Times New Roman" w:hAnsi="Times New Roman"/>
          <w:sz w:val="24"/>
          <w:szCs w:val="24"/>
          <w:rtl w:val="0"/>
        </w:rPr>
        <w:t>.</w:t>
      </w:r>
      <w:r>
        <w:rPr>
          <w:rFonts w:ascii="Times New Roman" w:hAnsi="Times New Roman"/>
          <w:spacing w:val="47"/>
          <w:sz w:val="24"/>
          <w:szCs w:val="24"/>
          <w:rtl w:val="0"/>
        </w:rPr>
        <w:t xml:space="preserve"> </w:t>
      </w:r>
      <w:r>
        <w:rPr>
          <w:rFonts w:ascii="Times New Roman" w:hAnsi="Times New Roman"/>
          <w:sz w:val="24"/>
          <w:szCs w:val="24"/>
          <w:rtl w:val="0"/>
        </w:rPr>
        <w:t>A</w:t>
      </w:r>
      <w:r>
        <w:rPr>
          <w:rFonts w:ascii="Times New Roman" w:hAnsi="Times New Roman"/>
          <w:spacing w:val="-13"/>
          <w:sz w:val="24"/>
          <w:szCs w:val="24"/>
          <w:rtl w:val="0"/>
        </w:rPr>
        <w:t xml:space="preserve"> </w:t>
      </w:r>
      <w:r>
        <w:rPr>
          <w:rFonts w:ascii="Times New Roman" w:hAnsi="Times New Roman"/>
          <w:sz w:val="24"/>
          <w:szCs w:val="24"/>
          <w:rtl w:val="0"/>
          <w:lang w:val="en-US"/>
        </w:rPr>
        <w:t>careful scientific consideration to be carried out to identify the system needs for the hardware, software, infrastructure and human resources.</w:t>
      </w:r>
      <w:r>
        <w:rPr>
          <w:rFonts w:ascii="Times New Roman" w:hAnsi="Times New Roman"/>
          <w:spacing w:val="-13"/>
          <w:sz w:val="24"/>
          <w:szCs w:val="24"/>
          <w:rtl w:val="0"/>
        </w:rPr>
        <w:t xml:space="preserve"> </w:t>
      </w:r>
      <w:r>
        <w:rPr>
          <w:rFonts w:ascii="Times New Roman" w:hAnsi="Times New Roman"/>
          <w:sz w:val="24"/>
          <w:szCs w:val="24"/>
          <w:rtl w:val="0"/>
          <w:lang w:val="en-US"/>
        </w:rPr>
        <w:t>An underutilized system is as harmful as an underperforming system.</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0" w:id="20"/>
      <w:r>
        <w:rPr>
          <w:rtl w:val="0"/>
          <w:lang w:val="it-IT"/>
        </w:rPr>
        <w:t>Paper</w:t>
      </w:r>
      <w:r>
        <w:rPr>
          <w:spacing w:val="0"/>
          <w:rtl w:val="0"/>
        </w:rPr>
        <w:t xml:space="preserve"> </w:t>
      </w:r>
      <w:r>
        <w:rPr>
          <w:rtl w:val="0"/>
          <w:lang w:val="pt-PT"/>
        </w:rPr>
        <w:t>Record</w:t>
      </w:r>
      <w:bookmarkEnd w:id="20"/>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82" w:hanging="393"/>
        <w:rPr>
          <w:rFonts w:ascii="Times New Roman" w:cs="Times New Roman" w:hAnsi="Times New Roman" w:eastAsia="Times New Roman"/>
          <w:sz w:val="24"/>
          <w:szCs w:val="24"/>
        </w:rPr>
      </w:pPr>
      <w:r>
        <w:rPr>
          <w:rFonts w:ascii="Times New Roman" w:hAnsi="Times New Roman"/>
          <w:sz w:val="24"/>
          <w:szCs w:val="24"/>
          <w:rtl w:val="0"/>
          <w:lang w:val="en-US"/>
        </w:rPr>
        <w:t>1.</w:t>
        <w:tab/>
        <w:t>In additional to digital record, system must capable to provide printed record of title with system generated endorsed stamp or special mark.</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1" w:id="21"/>
      <w:r>
        <w:rPr>
          <w:rtl w:val="0"/>
          <w:lang w:val="en-US"/>
        </w:rPr>
        <w:t>GIS Data/Record of Surveys Updates</w:t>
      </w:r>
      <w:bookmarkEnd w:id="21"/>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275" w:hanging="393"/>
        <w:rPr>
          <w:rFonts w:ascii="Times New Roman" w:cs="Times New Roman" w:hAnsi="Times New Roman" w:eastAsia="Times New Roman"/>
          <w:sz w:val="24"/>
          <w:szCs w:val="24"/>
        </w:rPr>
      </w:pPr>
      <w:r>
        <w:rPr>
          <w:rFonts w:ascii="Times New Roman" w:hAnsi="Times New Roman"/>
          <w:sz w:val="24"/>
          <w:szCs w:val="24"/>
          <w:rtl w:val="0"/>
          <w:lang w:val="en-US"/>
        </w:rPr>
        <w:t>1.</w:t>
        <w:tab/>
        <w:t>Land survey on regular interval (e.g. 6-12 month) to be carried out to re-define and update the record. Real estate record is very dynamic and keeps constant update as certain events (e.g. abrupt weathe</w:t>
      </w:r>
      <w:r>
        <w:rPr>
          <w:rFonts w:ascii="Times New Roman" w:hAnsi="Times New Roman"/>
          <w:spacing w:val="-10"/>
          <w:sz w:val="24"/>
          <w:szCs w:val="24"/>
          <w:rtl w:val="0"/>
        </w:rPr>
        <w:t>r</w:t>
      </w:r>
      <w:r>
        <w:rPr>
          <w:rFonts w:ascii="Times New Roman" w:hAnsi="Times New Roman"/>
          <w:sz w:val="24"/>
          <w:szCs w:val="24"/>
          <w:rtl w:val="0"/>
          <w:lang w:val="en-US"/>
        </w:rPr>
        <w:t>, infrastructure works, inheritance, new housing societies, me</w:t>
      </w:r>
      <w:r>
        <w:rPr>
          <w:rFonts w:ascii="Times New Roman" w:hAnsi="Times New Roman"/>
          <w:spacing w:val="-4"/>
          <w:sz w:val="24"/>
          <w:szCs w:val="24"/>
          <w:rtl w:val="0"/>
        </w:rPr>
        <w:t>r</w:t>
      </w:r>
      <w:r>
        <w:rPr>
          <w:rFonts w:ascii="Times New Roman" w:hAnsi="Times New Roman"/>
          <w:sz w:val="24"/>
          <w:szCs w:val="24"/>
          <w:rtl w:val="0"/>
          <w:lang w:val="en-US"/>
        </w:rPr>
        <w:t>gence/depletion of Islands etc. etc.) e</w:t>
      </w:r>
      <w:r>
        <w:rPr>
          <w:rFonts w:ascii="Times New Roman" w:hAnsi="Times New Roman"/>
          <w:spacing w:val="-4"/>
          <w:sz w:val="24"/>
          <w:szCs w:val="24"/>
          <w:rtl w:val="0"/>
        </w:rPr>
        <w:t>f</w:t>
      </w:r>
      <w:r>
        <w:rPr>
          <w:rFonts w:ascii="Times New Roman" w:hAnsi="Times New Roman"/>
          <w:sz w:val="24"/>
          <w:szCs w:val="24"/>
          <w:rtl w:val="0"/>
          <w:lang w:val="en-US"/>
        </w:rPr>
        <w:t>fects type, size and/or nature of real estate asset.</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2" w:id="22"/>
      <w:r>
        <w:rPr>
          <w:rtl w:val="0"/>
          <w:lang w:val="en-US"/>
        </w:rPr>
        <w:t>Government Orders</w:t>
      </w:r>
      <w:bookmarkEnd w:id="22"/>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714" w:hanging="393"/>
        <w:rPr>
          <w:rFonts w:ascii="Times New Roman" w:cs="Times New Roman" w:hAnsi="Times New Roman" w:eastAsia="Times New Roman"/>
          <w:sz w:val="24"/>
          <w:szCs w:val="24"/>
        </w:rPr>
      </w:pPr>
      <w:r>
        <w:rPr>
          <w:rFonts w:ascii="Times New Roman" w:hAnsi="Times New Roman"/>
          <w:sz w:val="24"/>
          <w:szCs w:val="24"/>
          <w:rtl w:val="0"/>
          <w:lang w:val="en-US"/>
        </w:rPr>
        <w:t>1.</w:t>
        <w:tab/>
        <w:t>Eminent Domain or government sell/buy restrictions or change of laws, due to economic, social or environmental factors.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3" w:id="23"/>
      <w:r>
        <w:rPr>
          <w:rtl w:val="0"/>
          <w:lang w:val="en-US"/>
        </w:rPr>
        <w:t>Financial Exchanges</w:t>
      </w:r>
      <w:bookmarkEnd w:id="23"/>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ability to record the history and all details of monetary exchange for propert</w:t>
      </w:r>
      <w:r>
        <w:rPr>
          <w:rFonts w:ascii="Times New Roman" w:hAnsi="Times New Roman"/>
          <w:spacing w:val="-16"/>
          <w:sz w:val="24"/>
          <w:szCs w:val="24"/>
          <w:rtl w:val="0"/>
        </w:rPr>
        <w:t>y</w:t>
      </w:r>
      <w:r>
        <w:rPr>
          <w:rFonts w:ascii="Times New Roman" w:hAnsi="Times New Roman"/>
          <w:sz w:val="24"/>
          <w:szCs w:val="24"/>
          <w:rtl w:val="0"/>
          <w:lang w:val="en-US"/>
        </w:rPr>
        <w:t>, such as loan, debt, cash transfe</w:t>
      </w:r>
      <w:r>
        <w:rPr>
          <w:rFonts w:ascii="Times New Roman" w:hAnsi="Times New Roman"/>
          <w:spacing w:val="-10"/>
          <w:sz w:val="24"/>
          <w:szCs w:val="24"/>
          <w:rtl w:val="0"/>
        </w:rPr>
        <w:t>r</w:t>
      </w:r>
      <w:r>
        <w:rPr>
          <w:rFonts w:ascii="Times New Roman" w:hAnsi="Times New Roman"/>
          <w:sz w:val="24"/>
          <w:szCs w:val="24"/>
          <w:rtl w:val="0"/>
          <w:lang w:val="en-US"/>
        </w:rPr>
        <w:t>, institution used to facilitate transaction including but not limited to exchange QI fees (Qualified Intermediary), closing fees, DST</w:t>
      </w:r>
      <w:r>
        <w:rPr>
          <w:rFonts w:ascii="Times New Roman" w:hAnsi="Times New Roman"/>
          <w:spacing w:val="-4"/>
          <w:sz w:val="24"/>
          <w:szCs w:val="24"/>
          <w:rtl w:val="0"/>
        </w:rPr>
        <w:t xml:space="preserve"> </w:t>
      </w:r>
      <w:r>
        <w:rPr>
          <w:rFonts w:ascii="Times New Roman" w:hAnsi="Times New Roman"/>
          <w:sz w:val="24"/>
          <w:szCs w:val="24"/>
          <w:rtl w:val="0"/>
          <w:lang w:val="en-US"/>
        </w:rPr>
        <w:t>QI fees, settlement statements from lenders or</w:t>
      </w:r>
      <w:r>
        <w:rPr>
          <w:rFonts w:ascii="Times New Roman" w:hAnsi="Times New Roman"/>
          <w:spacing w:val="-4"/>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itle and Bill of Sale tied to transactions. In some cases, the documentation of the sources of wealth,</w:t>
      </w:r>
    </w:p>
    <w:p>
      <w:pPr>
        <w:pStyle w:val="Body"/>
        <w:widowControl w:val="0"/>
        <w:tabs>
          <w:tab w:val="left" w:pos="840"/>
        </w:tabs>
        <w:spacing w:after="0" w:line="260" w:lineRule="auto"/>
        <w:ind w:left="853" w:right="195" w:hanging="393"/>
        <w:sectPr>
          <w:headerReference w:type="default" r:id="rId10"/>
          <w:pgSz w:w="12240" w:h="15840" w:orient="portrait"/>
          <w:pgMar w:top="1380" w:right="1380" w:bottom="280" w:left="1700" w:header="720" w:footer="0"/>
          <w:bidi w:val="0"/>
        </w:sectPr>
      </w:pPr>
    </w:p>
    <w:p>
      <w:pPr>
        <w:pStyle w:val="Body"/>
        <w:widowControl w:val="0"/>
        <w:spacing w:before="74" w:after="0" w:line="260" w:lineRule="auto"/>
        <w:ind w:left="853" w:right="48" w:firstLine="0"/>
        <w:rPr>
          <w:rFonts w:ascii="Times New Roman" w:cs="Times New Roman" w:hAnsi="Times New Roman" w:eastAsia="Times New Roman"/>
          <w:sz w:val="24"/>
          <w:szCs w:val="24"/>
        </w:rPr>
      </w:pPr>
      <w:r>
        <w:rPr>
          <w:rFonts w:ascii="Times New Roman" w:hAnsi="Times New Roman"/>
          <w:sz w:val="24"/>
          <w:szCs w:val="24"/>
          <w:rtl w:val="0"/>
          <w:lang w:val="en-US"/>
        </w:rPr>
        <w:t>ensuring this standard counters the use or housing of illegal and unreported money in all real estate sectors.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45"/>
        </w:numPr>
        <w:bidi w:val="0"/>
        <w:ind w:right="0"/>
        <w:jc w:val="left"/>
        <w:rPr>
          <w:rtl w:val="0"/>
        </w:rPr>
      </w:pPr>
      <w:bookmarkStart w:name="_Toc24" w:id="24"/>
      <w:r>
        <w:rPr>
          <w:rtl w:val="0"/>
        </w:rPr>
        <w:t>Envi</w:t>
      </w:r>
      <w:r>
        <w:rPr>
          <w:spacing w:val="0"/>
          <w:rtl w:val="0"/>
        </w:rPr>
        <w:t>r</w:t>
      </w:r>
      <w:r>
        <w:rPr>
          <w:rtl w:val="0"/>
          <w:lang w:val="en-US"/>
        </w:rPr>
        <w:t>onment Information</w:t>
      </w:r>
      <w:bookmarkEnd w:id="24"/>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29"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capability to categorize areas, parallel to county records and insurance premiums, regarding areas known for being high risk, due to reoccurring threat of extreme weather conditions or Seismic Zone Classification.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60" w:lineRule="auto"/>
        <w:ind w:left="853" w:right="174" w:hanging="393"/>
        <w:rPr>
          <w:rFonts w:ascii="Times New Roman" w:cs="Times New Roman" w:hAnsi="Times New Roman" w:eastAsia="Times New Roman"/>
          <w:sz w:val="24"/>
          <w:szCs w:val="24"/>
        </w:rPr>
      </w:pPr>
      <w:r>
        <w:rPr>
          <w:rFonts w:ascii="Times New Roman" w:hAnsi="Times New Roman"/>
          <w:sz w:val="24"/>
          <w:szCs w:val="24"/>
          <w:rtl w:val="0"/>
          <w:lang w:val="en-US"/>
        </w:rPr>
        <w:t>2.</w:t>
        <w:tab/>
        <w:t>Any and all documentation pertinent to environmental inspections including but not limited to mold, Phase I or Phase II, IAQ (Indoor</w:t>
      </w:r>
      <w:r>
        <w:rPr>
          <w:rFonts w:ascii="Times New Roman" w:hAnsi="Times New Roman"/>
          <w:spacing w:val="-13"/>
          <w:sz w:val="24"/>
          <w:szCs w:val="24"/>
          <w:rtl w:val="0"/>
        </w:rPr>
        <w:t xml:space="preserve"> </w:t>
      </w:r>
      <w:r>
        <w:rPr>
          <w:rFonts w:ascii="Times New Roman" w:hAnsi="Times New Roman"/>
          <w:sz w:val="24"/>
          <w:szCs w:val="24"/>
          <w:rtl w:val="0"/>
          <w:lang w:val="en-US"/>
        </w:rPr>
        <w:t>Air Quality), lead paint, radon, Septic, wate</w:t>
      </w:r>
      <w:r>
        <w:rPr>
          <w:rFonts w:ascii="Times New Roman" w:hAnsi="Times New Roman"/>
          <w:spacing w:val="-10"/>
          <w:sz w:val="24"/>
          <w:szCs w:val="24"/>
          <w:rtl w:val="0"/>
        </w:rPr>
        <w:t>r</w:t>
      </w:r>
      <w:r>
        <w:rPr>
          <w:rFonts w:ascii="Times New Roman" w:hAnsi="Times New Roman"/>
          <w:sz w:val="24"/>
          <w:szCs w:val="24"/>
          <w:rtl w:val="0"/>
          <w:lang w:val="en-US"/>
        </w:rPr>
        <w:t>, wetland, Stormwater assessment etc.</w:t>
      </w:r>
    </w:p>
    <w:p>
      <w:pPr>
        <w:pStyle w:val="Body"/>
        <w:jc w:val="both"/>
        <w:rPr>
          <w:rFonts w:ascii="Garamond" w:cs="Garamond" w:hAnsi="Garamond" w:eastAsia="Garamond"/>
          <w:b w:val="1"/>
          <w:bCs w:val="1"/>
        </w:rPr>
      </w:pPr>
    </w:p>
    <w:p>
      <w:pPr>
        <w:pStyle w:val="Body"/>
        <w:jc w:val="both"/>
        <w:rPr>
          <w:rFonts w:ascii="Garamond" w:cs="Garamond" w:hAnsi="Garamond" w:eastAsia="Garamond"/>
          <w:b w:val="1"/>
          <w:bCs w:val="1"/>
        </w:rPr>
      </w:pPr>
    </w:p>
    <w:p>
      <w:pPr>
        <w:pStyle w:val="Body"/>
        <w:jc w:val="both"/>
        <w:sectPr>
          <w:headerReference w:type="default" r:id="rId11"/>
          <w:footerReference w:type="default" r:id="rId12"/>
          <w:pgSz w:w="12240" w:h="15840" w:orient="portrait"/>
          <w:pgMar w:top="1440" w:right="1440" w:bottom="1440" w:left="1440" w:header="720" w:footer="0"/>
          <w:bidi w:val="0"/>
        </w:sectPr>
      </w:pPr>
    </w:p>
    <w:p>
      <w:pPr>
        <w:pStyle w:val="Heading"/>
      </w:pPr>
      <w:bookmarkStart w:name="_Toc25" w:id="25"/>
      <w:r>
        <w:rPr>
          <w:rFonts w:cs="Arial Unicode MS" w:eastAsia="Arial Unicode MS"/>
          <w:rtl w:val="0"/>
          <w:lang w:val="da-DK"/>
        </w:rPr>
        <w:t>Appendix A: Definitions</w:t>
      </w:r>
      <w:bookmarkEnd w:id="25"/>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25"/>
        <w:gridCol w:w="7195"/>
      </w:tblGrid>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Term</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Definition</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Acquisitions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Buying</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Dispositions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Real Property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Stakeholders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pP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GIS Parcel Fabric technology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can significantly support the endeavor of using blockchain and GIS for land ownership and management. Parcel Fabric is a robust GIS tool specifically designed for managing and maintaining cadastral (land parcel) data. Parcel Fabric can enhance the integration of blockchain and GIS for land ownership through the following areas: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Management:</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provides a structured and organized framework for storing cadastral data, including parcel boundaries, ownership information, historical records, and spatial attributes. This organized data structure is essential for blockchain integration, as it ensures consistency and reliability in the data to be recorded on the blockchain.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Accuracy: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precise spatial representation of land parcels. When combined with GIS, it ensures that land boundaries are accurately represented on maps and in blockchain records. This spatial accuracy is crucial for verifying land ownership claims.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Versioning and History: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supports versioning, enabling the creation of historical snapshots of cadastral data. This feature is valuable when recording land ownership changes on a blockchain. Users can reference these historical versions to trace the evolution of land parcels and ownership over time.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Validation and Quality Control: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tools for data validation and quality control. This helps ensure the accuracy and integrity of cadastral data, which is essential when linking it with blockchain records. Accurate data input into the blockchain reduces the risk of disputes and fraud.</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Integration with Blockchain: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be integrated with blockchain platforms to securely record cadastral data. When a property transaction occurs, Parcel Fabric can trigger the creation of a blockchain record or smart contract, capturing details of the transaction. This integration ensures that the blockchain and GIS systems are synchronized and maintain data consistency.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Blockchain Authentication: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provide authentication mechanisms to ensure that only authorized users can make changes to cadastral data. Access control features can be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security to prevent unauthorized alterations to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Visualization: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the visualization of land parcels in GIS maps, providing an intuitive interface for users to explore land ownership and boundaries. This visual representation can help users better understand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Efficient Data Updates: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When there are changes in land ownership or parcel boundaries, Parcel Fabric can efficiently manage updates and synchronize them with the blockchain. This ensures that the blockchain always reflects the most up-to-date land ownership information.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Query and Reporting: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facilitates querying and reporting on cadastral data. When integrated with blockchain, users can easily access and verify land ownership records, making the process more transparent and efficient.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backup and recovery features to safeguard cadastral data. In conjunction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redundancy, this ensures that land ownership records remain resilient and recoverable in the face of disasters or data breaches.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Parcel Fabric technology can serve as a powerful tool for managing and maintaining cadastral data within a GIS environment, making it an ideal companion for integrating with blockchain technology to support land ownership endeavors. Together, they provide a comprehensive solution for secure, transparent, and efficient land ownership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Computer Aided Mass Appraisal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play a crucial role in supporting land ownership and property management endeavors, especially when integrated with GIS and blockchain technologies. Here</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how CAMA systems can contribute: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Accurate Valuation: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use sophisticated algorithms and modeling techniques to assess property values. Integrating CAMA with GIS allows for more accurate valuations by considering spatial factors like proximity to amenities, transportation, and other location-based attributes. This accurate valuation is essential for property taxation and fair land assessment.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Integration: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can integrate a wide range of property-related data, including property characteristics, historical sales data, and ownership history. When linked with GIS, this integrated data can provide a comprehensive view of a property</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history and physical attributes, which is valuable for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Identification: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often include parcel identification features, which help ensure that property assessments are linked to specific land parcels. This aids in the alignment of property valuation and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Fair Taxation: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Accurate property valuations provided by CAMA systems contribute to fair taxation. Property owners pay taxes based on the true value of their assets, which can improve government revenue collection. Blockchain can help ensure transparent and tamper-proof property taxation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Ownership Verification: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maintain historical ownership data. When combined with blockchain, these records can be securely stored and verified, reducing the risk of fraudulent ownership claims. Property ownership can be linked to blockchain identities, providing additional security.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Streamlined Assessments: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automate the property assessment process, making it more efficient and reducing the potential for human error. This efficiency is valuable for both property owners and government agencies involved in land ownership and taxation.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Analysis: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GIS integration with CAMA enables spatial analysis to understand how property values relate to geographic factors. This can assist in land-use planning, zoning, and infrastructure development decisions.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Transparency: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By integrating CAMA with blockchain, the entire property valuation and taxation process becomes transparent and auditable. Property owners can easily access and verify their tax assessments, contributing to trust in the system.</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Smart Contracts: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Blockchain technology can be used to create smart contracts that automate property tax payments. Property owners can set up automatic payments based on their assessed tax value, and the blockchain ensures these transactions are transparent and secure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Sharing: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Integration of CAMA with GIS and blockchain can facilitate data sharing among government agencies, real estate professionals, and property owners. This can lead to improved cooperation and coordination in land ownership and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typically include backup and recovery features. When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resilience, this ensures that property valuation and ownership records remain accessible even in the event of data loss or disasters.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CAMA systems, when integrated with GIS and blockchain technologies, provide a comprehensive solution for property valuation, land ownership records, and property taxation. This integration enhances accuracy, transparency, and efficiency in land ownership and management endeavors, benefiting both governments and property owners.</w:t>
      </w:r>
    </w:p>
    <w:p>
      <w:pPr>
        <w:pStyle w:val="Body"/>
        <w:pBdr>
          <w:top w:val="nil"/>
          <w:left w:val="nil"/>
          <w:bottom w:val="single" w:color="000000" w:sz="6" w:space="0" w:shadow="0" w:frame="0"/>
          <w:right w:val="nil"/>
        </w:pBdr>
      </w:pPr>
    </w:p>
    <w:p>
      <w:pPr>
        <w:pStyle w:val="Body"/>
      </w:pPr>
    </w:p>
    <w:p>
      <w:pPr>
        <w:pStyle w:val="Heading"/>
      </w:pPr>
      <w:bookmarkStart w:name="_Toc26" w:id="26"/>
      <w:r>
        <w:rPr>
          <w:rFonts w:cs="Arial Unicode MS" w:eastAsia="Arial Unicode MS"/>
          <w:rtl w:val="0"/>
          <w:lang w:val="de-DE"/>
        </w:rPr>
        <w:t>Appendix B: Land Title Data Standards</w:t>
      </w:r>
      <w:bookmarkEnd w:id="26"/>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37"/>
        <w:gridCol w:w="2337"/>
        <w:gridCol w:w="2338"/>
        <w:gridCol w:w="2338"/>
      </w:tblGrid>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Category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Attributes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Description</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Format</w:t>
            </w: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Fractional Rights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 </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Attributes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Easements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Utilities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Imagery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Geological</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line="240" w:lineRule="auto"/>
      </w:pPr>
    </w:p>
    <w:p>
      <w:pPr>
        <w:pStyle w:val="Body"/>
      </w:pPr>
    </w:p>
    <w:p>
      <w:pPr>
        <w:pStyle w:val="Body"/>
      </w:pPr>
    </w:p>
    <w:p>
      <w:pPr>
        <w:pStyle w:val="Body"/>
      </w:pPr>
    </w:p>
    <w:p>
      <w:pPr>
        <w:pStyle w:val="Body"/>
      </w:pPr>
    </w:p>
    <w:p>
      <w:pPr>
        <w:pStyle w:val="Body"/>
        <w:sectPr>
          <w:headerReference w:type="default" r:id="rId13"/>
          <w:pgSz w:w="12240" w:h="15840" w:orient="portrait"/>
          <w:pgMar w:top="1440" w:right="1440" w:bottom="1440" w:left="1440" w:header="720" w:footer="0"/>
          <w:bidi w:val="0"/>
        </w:sectPr>
      </w:pPr>
    </w:p>
    <w:p>
      <w:pPr>
        <w:pStyle w:val="Body"/>
      </w:pPr>
    </w:p>
    <w:p>
      <w:pPr>
        <w:pStyle w:val="Heading"/>
      </w:pPr>
      <w:bookmarkStart w:name="_Toc27" w:id="27"/>
      <w:r>
        <w:rPr>
          <w:rFonts w:cs="Arial Unicode MS" w:eastAsia="Arial Unicode MS"/>
          <w:rtl w:val="0"/>
          <w:lang w:val="en-US"/>
        </w:rPr>
        <w:t>Appendix X: Authors &amp; Contributors</w:t>
      </w:r>
      <w:bookmarkEnd w:id="27"/>
    </w:p>
    <w:p>
      <w:pPr>
        <w:pStyle w:val="Body"/>
      </w:pPr>
    </w:p>
    <w:p>
      <w:pPr>
        <w:pStyle w:val="List Paragraph"/>
        <w:numPr>
          <w:ilvl w:val="0"/>
          <w:numId w:val="41"/>
        </w:numPr>
        <w:rPr>
          <w:lang w:val="en-US"/>
        </w:rPr>
      </w:pPr>
      <w:r>
        <w:rPr>
          <w:rtl w:val="0"/>
          <w:lang w:val="en-US"/>
        </w:rPr>
        <w:t>Robert Muoka</w:t>
      </w:r>
    </w:p>
    <w:p>
      <w:pPr>
        <w:pStyle w:val="List Paragraph"/>
        <w:numPr>
          <w:ilvl w:val="0"/>
          <w:numId w:val="41"/>
        </w:numPr>
        <w:rPr>
          <w:lang w:val="en-US"/>
        </w:rPr>
      </w:pPr>
      <w:r>
        <w:rPr>
          <w:rtl w:val="0"/>
          <w:lang w:val="en-US"/>
        </w:rPr>
        <w:t>Derrick D. Prentice</w:t>
      </w:r>
    </w:p>
    <w:p>
      <w:pPr>
        <w:pStyle w:val="List Paragraph"/>
        <w:numPr>
          <w:ilvl w:val="0"/>
          <w:numId w:val="41"/>
        </w:numPr>
        <w:rPr>
          <w:lang w:val="en-US"/>
        </w:rPr>
      </w:pPr>
      <w:r>
        <w:rPr>
          <w:rtl w:val="0"/>
          <w:lang w:val="en-US"/>
        </w:rPr>
        <w:t>David K. Dubauskas</w:t>
      </w:r>
    </w:p>
    <w:p>
      <w:pPr>
        <w:pStyle w:val="Body"/>
      </w:pPr>
    </w:p>
    <w:p>
      <w:pPr>
        <w:pStyle w:val="Body"/>
      </w:pPr>
    </w:p>
    <w:p>
      <w:pPr>
        <w:pStyle w:val="Body"/>
        <w:sectPr>
          <w:headerReference w:type="default" r:id="rId14"/>
          <w:pgSz w:w="12240" w:h="15840" w:orient="portrait"/>
          <w:pgMar w:top="1440" w:right="1440" w:bottom="1440" w:left="1440" w:header="720" w:footer="0"/>
          <w:bidi w:val="0"/>
        </w:sectPr>
      </w:pPr>
    </w:p>
    <w:p>
      <w:pPr>
        <w:pStyle w:val="Body"/>
      </w:pPr>
    </w:p>
    <w:p>
      <w:pPr>
        <w:pStyle w:val="Body"/>
      </w:pPr>
    </w:p>
    <w:p>
      <w:pPr>
        <w:pStyle w:val="Heading"/>
        <w:numPr>
          <w:ilvl w:val="0"/>
          <w:numId w:val="46"/>
        </w:numPr>
      </w:pPr>
      <w:bookmarkStart w:name="_Toc28" w:id="28"/>
      <w:r>
        <w:rPr>
          <w:rFonts w:cs="Arial Unicode MS" w:eastAsia="Arial Unicode MS"/>
          <w:rtl w:val="0"/>
          <w:lang w:val="en-US"/>
        </w:rPr>
        <w:t>Parking Lot</w:t>
      </w:r>
      <w:bookmarkEnd w:id="28"/>
    </w:p>
    <w:p>
      <w:pPr>
        <w:pStyle w:val="List Paragraph"/>
        <w:widowControl w:val="0"/>
        <w:numPr>
          <w:ilvl w:val="0"/>
          <w:numId w:val="48"/>
        </w:numPr>
        <w:bidi w:val="0"/>
        <w:spacing w:before="24"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Property Attributes</w:t>
      </w:r>
    </w:p>
    <w:p>
      <w:pPr>
        <w:pStyle w:val="Body"/>
        <w:widowControl w:val="0"/>
        <w:tabs>
          <w:tab w:val="left" w:pos="1200"/>
        </w:tabs>
        <w:spacing w:after="0" w:line="400" w:lineRule="auto"/>
        <w:ind w:left="1080" w:right="5886" w:firstLine="0"/>
        <w:rPr>
          <w:rFonts w:ascii="Times New Roman" w:cs="Times New Roman" w:hAnsi="Times New Roman" w:eastAsia="Times New Roman"/>
          <w:sz w:val="24"/>
          <w:szCs w:val="24"/>
        </w:rPr>
      </w:pPr>
      <w:r>
        <w:rPr>
          <w:rFonts w:ascii="Times New Roman" w:hAnsi="Times New Roman"/>
          <w:sz w:val="24"/>
          <w:szCs w:val="24"/>
          <w:rtl w:val="0"/>
          <w:lang w:val="en-US"/>
        </w:rPr>
        <w:t>i)</w:t>
        <w:tab/>
        <w:t>Easements</w:t>
      </w: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r>
        <w:rPr>
          <w:rFonts w:ascii="Times New Roman" w:hAnsi="Times New Roman"/>
          <w:sz w:val="24"/>
          <w:szCs w:val="24"/>
          <w:rtl w:val="0"/>
          <w:lang w:val="en-US"/>
        </w:rPr>
        <w:t>j)</w:t>
        <w:tab/>
        <w:t>Oil/Mineral Rights</w:t>
      </w:r>
    </w:p>
    <w:p>
      <w:pPr>
        <w:pStyle w:val="Body"/>
      </w:pPr>
      <w:r/>
    </w:p>
    <w:sectPr>
      <w:headerReference w:type="default" r:id="rId15"/>
      <w:pgSz w:w="12240" w:h="15840" w:orient="portrait"/>
      <w:pgMar w:top="1440" w:right="1440" w:bottom="1440" w:left="144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libri Light">
    <w:charset w:val="00"/>
    <w:family w:val="roman"/>
    <w:pitch w:val="default"/>
  </w:font>
  <w:font w:name="Roboto">
    <w:charset w:val="00"/>
    <w:family w:val="roman"/>
    <w:pitch w:val="default"/>
  </w:font>
  <w:font w:name="Garamond">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shd w:val="nil" w:color="auto" w:fill="auto"/>
        <w:rtl w:val="0"/>
      </w:rPr>
    </w:pPr>
    <w:r>
      <w:rPr>
        <w:shd w:val="nil" w:color="auto" w:fill="auto"/>
      </w:rPr>
      <w:drawing xmlns:a="http://schemas.openxmlformats.org/drawingml/2006/main">
        <wp:inline distT="0" distB="0" distL="0" distR="0">
          <wp:extent cx="1071475" cy="386920"/>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1">
                    <a:extLst/>
                  </a:blip>
                  <a:stretch>
                    <a:fillRect/>
                  </a:stretch>
                </pic:blipFill>
                <pic:spPr>
                  <a:xfrm>
                    <a:off x="0" y="0"/>
                    <a:ext cx="1071475" cy="386920"/>
                  </a:xfrm>
                  <a:prstGeom prst="rect">
                    <a:avLst/>
                  </a:prstGeom>
                  <a:ln w="12700" cap="flat">
                    <a:noFill/>
                    <a:miter lim="400000"/>
                  </a:ln>
                  <a:effectLst/>
                </pic:spPr>
              </pic:pic>
            </a:graphicData>
          </a:graphic>
        </wp:inline>
      </w:drawing>
    </w:r>
    <w:r>
      <w:rPr>
        <w:shd w:val="nil" w:color="auto" w:fill="auto"/>
      </w:rPr>
      <w:tab/>
    </w:r>
    <w:r>
      <w:rPr>
        <w:shd w:val="nil" w:color="auto" w:fill="auto"/>
        <w:rtl w:val="0"/>
        <w:lang w:val="en-US"/>
      </w:rPr>
      <w:t>Lind Titling Working Group</w:t>
    </w:r>
  </w:p>
  <w:p>
    <w:pPr>
      <w:pStyle w:val="header"/>
      <w:bidi w:val="0"/>
      <w:ind w:left="0" w:right="0" w:firstLine="0"/>
      <w:jc w:val="left"/>
      <w:rPr>
        <w:rtl w:val="0"/>
      </w:rPr>
    </w:pPr>
    <w:r>
      <w:rPr>
        <w:shd w:val="nil" w:color="auto" w:fill="auto"/>
        <w:rtl w:val="0"/>
        <w:lang w:val="en-US"/>
      </w:rPr>
      <w:t>BMM Land Titling Supplement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rFonts w:ascii="Garamond" w:cs="Garamond" w:hAnsi="Garamond" w:eastAsia="Garamond"/>
        <w:b w:val="1"/>
        <w:bCs w:val="1"/>
      </w:rPr>
    </w:pPr>
  </w:p>
  <w:p>
    <w:pPr>
      <w:pStyle w:val="header"/>
      <w:jc w:val="center"/>
    </w:pPr>
    <w:r>
      <w:rPr>
        <w:rFonts w:ascii="Garamond" w:hAnsi="Garamond"/>
        <w:b w:val="1"/>
        <w:bCs w:val="1"/>
        <w:rtl w:val="0"/>
        <w:lang w:val="en-US"/>
      </w:rPr>
      <w:t xml:space="preserve">LTWG Standards </w:t>
    </w:r>
    <w:r>
      <w:rPr>
        <w:rFonts w:ascii="Garamond" w:hAnsi="Garamond"/>
        <w:b w:val="1"/>
        <w:bCs w:val="1"/>
        <w:shd w:val="clear" w:color="auto" w:fill="ffff00"/>
        <w:rtl w:val="0"/>
        <w:lang w:val="en-US"/>
      </w:rPr>
      <w:t>Section II B,C &amp;D</w:t>
    </w:r>
    <w:r>
      <w:rPr>
        <w:rFonts w:ascii="Garamond" w:hAnsi="Garamond"/>
        <w:b w:val="1"/>
        <w:bCs w:val="1"/>
        <w:rtl w:val="0"/>
        <w:lang w:val="en-US"/>
      </w:rPr>
      <w:t xml:space="preserve"> (Working Draft) -Derrick Prentice</w:t>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97" w:hanging="2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660"/>
        </w:tabs>
        <w:ind w:left="707" w:hanging="4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1300"/>
        </w:tabs>
        <w:ind w:left="8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1468"/>
        </w:tabs>
        <w:ind w:left="1008" w:hanging="5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76" w:hanging="7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44" w:hanging="8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12" w:hanging="10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80" w:hanging="12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48" w:hanging="1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3"/>
  </w:abstractNum>
  <w:abstractNum w:abstractNumId="6">
    <w:multiLevelType w:val="hybridMultilevel"/>
    <w:styleLink w:val="Imported Style 3"/>
    <w:lvl w:ilvl="0">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0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6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6"/>
  </w:abstractNum>
  <w:abstractNum w:abstractNumId="12">
    <w:multiLevelType w:val="hybridMultilevel"/>
    <w:styleLink w:val="Imported Style 6"/>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7"/>
  </w:abstractNum>
  <w:abstractNum w:abstractNumId="14">
    <w:multiLevelType w:val="hybridMultilevel"/>
    <w:styleLink w:val="Imported Style 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8"/>
  </w:abstractNum>
  <w:abstractNum w:abstractNumId="16">
    <w:multiLevelType w:val="hybridMultilevel"/>
    <w:styleLink w:val="Imported Style 8"/>
    <w:lvl w:ilvl="0">
      <w:start w:val="1"/>
      <w:numFmt w:val="decimal"/>
      <w:suff w:val="tab"/>
      <w:lvlText w:val="%1."/>
      <w:lvlJc w:val="left"/>
      <w:pPr>
        <w:ind w:left="93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76"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9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1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36"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5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97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9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9"/>
  </w:abstractNum>
  <w:abstractNum w:abstractNumId="18">
    <w:multiLevelType w:val="hybridMultilevel"/>
    <w:styleLink w:val="Imported Style 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1">
      <w:startOverride w:val="2"/>
    </w:lvlOverride>
  </w:num>
  <w:num w:numId="6">
    <w:abstractNumId w:val="0"/>
    <w:lvlOverride w:ilvl="2">
      <w:startOverride w:val="2"/>
    </w:lvlOverride>
  </w:num>
  <w:num w:numId="7">
    <w:abstractNumId w:val="0"/>
    <w:lvlOverride w:ilvl="1">
      <w:startOverride w:val="3"/>
    </w:lvlOverride>
  </w:num>
  <w:num w:numId="8">
    <w:abstractNumId w:val="0"/>
    <w:lvlOverride w:ilvl="1">
      <w:startOverride w:val="4"/>
    </w:lvlOverride>
  </w:num>
  <w:num w:numId="9">
    <w:abstractNumId w:val="0"/>
    <w:lvlOverride w:ilvl="1">
      <w:startOverride w:val="5"/>
    </w:lvlOverride>
  </w:num>
  <w:num w:numId="10">
    <w:abstractNumId w:val="0"/>
    <w:lvlOverride w:ilvl="1">
      <w:startOverride w:val="6"/>
    </w:lvlOverride>
  </w:num>
  <w:num w:numId="11">
    <w:abstractNumId w:val="0"/>
    <w:lvlOverride w:ilvl="1">
      <w:startOverride w:val="7"/>
    </w:lvlOverride>
  </w:num>
  <w:num w:numId="12">
    <w:abstractNumId w:val="0"/>
    <w:lvlOverride w:ilvl="1">
      <w:startOverride w:val="8"/>
    </w:lvlOverride>
  </w:num>
  <w:num w:numId="13">
    <w:abstractNumId w:val="0"/>
    <w:lvlOverride w:ilvl="1">
      <w:startOverride w:val="9"/>
    </w:lvlOverride>
  </w:num>
  <w:num w:numId="14">
    <w:abstractNumId w:val="0"/>
    <w:lvlOverride w:ilvl="1">
      <w:startOverride w:val="10"/>
    </w:lvlOverride>
  </w:num>
  <w:num w:numId="15">
    <w:abstractNumId w:val="0"/>
    <w:lvlOverride w:ilvl="1">
      <w:startOverride w:val="11"/>
    </w:lvlOverride>
  </w:num>
  <w:num w:numId="16">
    <w:abstractNumId w:val="0"/>
    <w:lvlOverride w:ilvl="1">
      <w:startOverride w:val="12"/>
    </w:lvlOverride>
  </w:num>
  <w:num w:numId="17">
    <w:abstractNumId w:val="0"/>
    <w:lvlOverride w:ilvl="1">
      <w:startOverride w:val="13"/>
    </w:lvlOverride>
  </w:num>
  <w:num w:numId="18">
    <w:abstractNumId w:val="0"/>
    <w:lvlOverride w:ilvl="1">
      <w:startOverride w:val="14"/>
    </w:lvlOverride>
  </w:num>
  <w:num w:numId="19">
    <w:abstractNumId w:val="0"/>
    <w:lvlOverride w:ilvl="1">
      <w:startOverride w:val="15"/>
    </w:lvlOverride>
  </w:num>
  <w:num w:numId="20">
    <w:abstractNumId w:val="0"/>
    <w:lvlOverride w:ilvl="1">
      <w:startOverride w:val="16"/>
    </w:lvlOverride>
  </w:num>
  <w:num w:numId="21">
    <w:abstractNumId w:val="0"/>
    <w:lvlOverride w:ilvl="1">
      <w:startOverride w:val="17"/>
    </w:lvlOverride>
  </w:num>
  <w:num w:numId="22">
    <w:abstractNumId w:val="0"/>
    <w:lvlOverride w:ilvl="1">
      <w:startOverride w:val="18"/>
    </w:lvlOverride>
  </w:num>
  <w:num w:numId="23">
    <w:abstractNumId w:val="0"/>
    <w:lvlOverride w:ilvl="0">
      <w:startOverride w:val="5"/>
    </w:lvlOverride>
  </w:num>
  <w:num w:numId="24">
    <w:abstractNumId w:val="2"/>
  </w:num>
  <w:num w:numId="25">
    <w:abstractNumId w:val="1"/>
  </w:num>
  <w:num w:numId="26">
    <w:abstractNumId w:val="1"/>
    <w:lvlOverride w:ilvl="0">
      <w:startOverride w:val="2"/>
    </w:lvlOverride>
  </w:num>
  <w:num w:numId="27">
    <w:abstractNumId w:val="4"/>
  </w:num>
  <w:num w:numId="28">
    <w:abstractNumId w:val="3"/>
  </w:num>
  <w:num w:numId="29">
    <w:abstractNumId w:val="1"/>
    <w:lvlOverride w:ilvl="0">
      <w:startOverride w:val="4"/>
    </w:lvlOverride>
  </w:num>
  <w:num w:numId="30">
    <w:abstractNumId w:val="6"/>
  </w:num>
  <w:num w:numId="31">
    <w:abstractNumId w:val="5"/>
  </w:num>
  <w:num w:numId="32">
    <w:abstractNumId w:val="8"/>
  </w:num>
  <w:num w:numId="33">
    <w:abstractNumId w:val="7"/>
  </w:num>
  <w:num w:numId="34">
    <w:abstractNumId w:val="1"/>
    <w:lvlOverride w:ilvl="1">
      <w:startOverride w:val="2"/>
    </w:lvlOverride>
  </w:num>
  <w:num w:numId="35">
    <w:abstractNumId w:val="10"/>
  </w:num>
  <w:num w:numId="36">
    <w:abstractNumId w:val="9"/>
  </w:num>
  <w:num w:numId="37">
    <w:abstractNumId w:val="1"/>
    <w:lvlOverride w:ilvl="1">
      <w:startOverride w:val="4"/>
    </w:lvlOverride>
  </w:num>
  <w:num w:numId="38">
    <w:abstractNumId w:val="12"/>
  </w:num>
  <w:num w:numId="39">
    <w:abstractNumId w:val="11"/>
  </w:num>
  <w:num w:numId="40">
    <w:abstractNumId w:val="14"/>
  </w:num>
  <w:num w:numId="41">
    <w:abstractNumId w:val="13"/>
  </w:num>
  <w:num w:numId="42">
    <w:abstractNumId w:val="16"/>
  </w:num>
  <w:num w:numId="43">
    <w:abstractNumId w:val="15"/>
  </w:num>
  <w:num w:numId="44">
    <w:abstractNumId w:val="1"/>
    <w:lvlOverride w:ilvl="1">
      <w:startOverride w:val="5"/>
    </w:lvlOverride>
  </w:num>
  <w:num w:numId="45">
    <w:abstractNumId w:val="1"/>
    <w:lvlOverride w:ilvl="1">
      <w:startOverride w:val="18"/>
    </w:lvlOverride>
  </w:num>
  <w:num w:numId="46">
    <w:abstractNumId w:val="1"/>
    <w:lvlOverride w:ilvl="0">
      <w:startOverride w:val="5"/>
    </w:lvlOverride>
  </w:num>
  <w:num w:numId="47">
    <w:abstractNumId w:val="18"/>
  </w:num>
  <w:num w:numId="48">
    <w:abstractNumId w:val="1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left" w:pos="435"/>
        <w:tab w:val="right" w:pos="9540" w:leader="dot"/>
      </w:tabs>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Outline>
        <w14:noFill/>
      </w14:textOutline>
      <w14:textFill>
        <w14:solidFill>
          <w14:srgbClr w14:val="2F5496"/>
        </w14:solidFill>
      </w14:textFill>
    </w:rPr>
  </w:style>
  <w:style w:type="paragraph" w:styleId="TOC 2">
    <w:name w:val="TOC 2"/>
    <w:next w:val="TOC 2"/>
    <w:pPr>
      <w:keepNext w:val="0"/>
      <w:keepLines w:val="0"/>
      <w:pageBreakBefore w:val="0"/>
      <w:widowControl w:val="1"/>
      <w:shd w:val="clear" w:color="auto" w:fill="auto"/>
      <w:tabs>
        <w:tab w:val="left" w:pos="660"/>
        <w:tab w:val="right" w:pos="9540" w:leader="dot"/>
      </w:tabs>
      <w:suppressAutoHyphens w:val="0"/>
      <w:bidi w:val="0"/>
      <w:spacing w:before="0" w:after="100" w:line="259" w:lineRule="auto"/>
      <w:ind w:left="2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14:textOutline>
        <w14:noFill/>
      </w14:textOutline>
      <w14:textFill>
        <w14:solidFill>
          <w14:srgbClr w14:val="2F5496"/>
        </w14:solidFill>
      </w14:textFill>
    </w:rPr>
  </w:style>
  <w:style w:type="paragraph" w:styleId="TOC 3">
    <w:name w:val="TOC 3"/>
    <w:next w:val="TOC 3"/>
    <w:pPr>
      <w:keepNext w:val="0"/>
      <w:keepLines w:val="0"/>
      <w:pageBreakBefore w:val="0"/>
      <w:widowControl w:val="1"/>
      <w:shd w:val="clear" w:color="auto" w:fill="auto"/>
      <w:tabs>
        <w:tab w:val="left" w:pos="435"/>
        <w:tab w:val="right" w:pos="9540" w:leader="dot"/>
      </w:tabs>
      <w:suppressAutoHyphens w:val="0"/>
      <w:bidi w:val="0"/>
      <w:spacing w:before="160" w:after="0" w:line="240" w:lineRule="auto"/>
      <w:ind w:left="0" w:right="0" w:firstLine="46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2"/>
    </w:pPr>
    <w:rPr>
      <w:rFonts w:ascii="Calibri Light" w:cs="Calibri Light" w:hAnsi="Calibri Light" w:eastAsia="Calibri Light"/>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14:textOutline>
        <w14:noFill/>
      </w14:textOutline>
      <w14:textFill>
        <w14:solidFill>
          <w14:srgbClr w14:val="1F3763"/>
        </w14:solidFill>
      </w14:textFill>
    </w:rPr>
  </w:style>
  <w:style w:type="paragraph" w:styleId="toc 1.0">
    <w:name w:val="toc 1"/>
    <w:next w:val="Body"/>
    <w:pPr>
      <w:keepNext w:val="0"/>
      <w:keepLines w:val="0"/>
      <w:pageBreakBefore w:val="0"/>
      <w:widowControl w:val="1"/>
      <w:shd w:val="clear" w:color="auto" w:fill="auto"/>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numbering" w:styleId="Imported Style 1">
    <w:name w:val="Imported Style 1"/>
    <w:pPr>
      <w:numPr>
        <w:numId w:val="2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27"/>
      </w:numPr>
    </w:pPr>
  </w:style>
  <w:style w:type="numbering" w:styleId="Imported Style 3">
    <w:name w:val="Imported Style 3"/>
    <w:pPr>
      <w:numPr>
        <w:numId w:val="30"/>
      </w:numPr>
    </w:pPr>
  </w:style>
  <w:style w:type="numbering" w:styleId="Imported Style 4">
    <w:name w:val="Imported Style 4"/>
    <w:pPr>
      <w:numPr>
        <w:numId w:val="32"/>
      </w:numPr>
    </w:pPr>
  </w:style>
  <w:style w:type="character" w:styleId="Strong">
    <w:name w:val="Strong"/>
    <w:rPr>
      <w:rFonts w:ascii="Calibri" w:hAnsi="Calibri"/>
      <w:b w:val="1"/>
      <w:bCs w:val="1"/>
    </w:rPr>
  </w:style>
  <w:style w:type="numbering" w:styleId="Imported Style 5">
    <w:name w:val="Imported Style 5"/>
    <w:pPr>
      <w:numPr>
        <w:numId w:val="35"/>
      </w:numPr>
    </w:pPr>
  </w:style>
  <w:style w:type="numbering" w:styleId="Imported Style 6">
    <w:name w:val="Imported Style 6"/>
    <w:pPr>
      <w:numPr>
        <w:numId w:val="38"/>
      </w:numPr>
    </w:pPr>
  </w:style>
  <w:style w:type="numbering" w:styleId="Imported Style 7">
    <w:name w:val="Imported Style 7"/>
    <w:pPr>
      <w:numPr>
        <w:numId w:val="40"/>
      </w:numPr>
    </w:pPr>
  </w:style>
  <w:style w:type="numbering" w:styleId="Imported Style 8">
    <w:name w:val="Imported Style 8"/>
    <w:pPr>
      <w:numPr>
        <w:numId w:val="42"/>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9">
    <w:name w:val="Imported Style 9"/>
    <w:pPr>
      <w:numPr>
        <w:numId w:val="4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2.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numbering" Target="numbering.xml"/><Relationship Id="rId1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